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hint="default" w:ascii="Times New Roman" w:hAnsi="Times New Roman" w:cs="Times New Roman"/>
          <w:b/>
          <w:bCs/>
          <w:sz w:val="44"/>
          <w:szCs w:val="44"/>
        </w:rPr>
      </w:pPr>
      <w:r>
        <w:rPr>
          <w:rFonts w:hint="default" w:ascii="Times New Roman" w:hAnsi="Times New Roman" w:cs="Times New Roman"/>
          <w:b/>
          <w:bCs/>
          <w:sz w:val="44"/>
          <w:szCs w:val="44"/>
          <w:lang w:eastAsia="zh-CN"/>
        </w:rPr>
        <w:t>SiDoTek™</w:t>
      </w:r>
      <w:r>
        <w:rPr>
          <w:rFonts w:hint="default" w:ascii="Times New Roman" w:hAnsi="Times New Roman" w:cs="Times New Roman"/>
          <w:b/>
          <w:bCs/>
          <w:sz w:val="44"/>
          <w:szCs w:val="44"/>
        </w:rPr>
        <w:t xml:space="preserve"> One Step Cloning Kit </w:t>
      </w:r>
    </w:p>
    <w:p>
      <w:pPr>
        <w:spacing w:line="240" w:lineRule="auto"/>
        <w:jc w:val="left"/>
        <w:rPr>
          <w:rFonts w:hint="default" w:ascii="Times New Roman" w:hAnsi="Times New Roman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eastAsia="zh-CN"/>
        </w:rPr>
        <w:t>一步法多片段无缝克隆试剂盒</w:t>
      </w:r>
    </w:p>
    <w:p>
      <w:pPr>
        <w:spacing w:line="240" w:lineRule="auto"/>
        <w:rPr>
          <w:rFonts w:hint="default" w:ascii="Times New Roman" w:hAnsi="Times New Roman" w:cs="Times New Roman"/>
          <w:b/>
          <w:bCs/>
          <w:sz w:val="21"/>
          <w:szCs w:val="21"/>
        </w:rPr>
      </w:pPr>
    </w:p>
    <w:p>
      <w:pPr>
        <w:spacing w:line="240" w:lineRule="auto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目录号：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1"/>
          <w:szCs w:val="21"/>
          <w:lang w:eastAsia="zh-CN"/>
        </w:rPr>
        <w:t>DMR4-2a</w:t>
      </w:r>
    </w:p>
    <w:p>
      <w:pPr>
        <w:spacing w:line="240" w:lineRule="auto"/>
        <w:rPr>
          <w:rFonts w:hint="default" w:ascii="Times New Roman" w:hAnsi="Times New Roman" w:cs="Times New Roman"/>
          <w:b/>
          <w:bCs/>
          <w:sz w:val="21"/>
          <w:szCs w:val="21"/>
          <w:lang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eastAsia="zh-CN"/>
        </w:rPr>
        <w:t>储存条件：-30 ~ -15℃保存1年，≤0℃运输</w:t>
      </w:r>
    </w:p>
    <w:p>
      <w:pPr>
        <w:spacing w:after="48" w:afterLines="20" w:line="240" w:lineRule="auto"/>
        <w:rPr>
          <w:rFonts w:hint="default" w:ascii="Times New Roman" w:hAnsi="Times New Roman" w:cs="Times New Roman"/>
          <w:b/>
          <w:bCs/>
          <w:color w:val="0F7F7D"/>
          <w:sz w:val="24"/>
          <w:szCs w:val="24"/>
        </w:rPr>
      </w:pPr>
    </w:p>
    <w:p>
      <w:pPr>
        <w:spacing w:after="48" w:afterLines="20" w:line="240" w:lineRule="auto"/>
        <w:rPr>
          <w:rFonts w:hint="default" w:ascii="Times New Roman" w:hAnsi="Times New Roman" w:cs="Times New Roman"/>
          <w:b/>
          <w:bCs/>
          <w:color w:val="122A88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122A88"/>
          <w:sz w:val="24"/>
          <w:szCs w:val="24"/>
        </w:rPr>
        <w:t>产品简介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  <w:t>SiDoTek™</w:t>
      </w:r>
      <w:r>
        <w:rPr>
          <w:rFonts w:hint="default" w:ascii="Times New Roman" w:hAnsi="Times New Roman" w:cs="Times New Roman"/>
          <w:color w:val="000000"/>
          <w:sz w:val="18"/>
          <w:szCs w:val="18"/>
        </w:rPr>
        <w:t xml:space="preserve"> One Step Cloning Kit是一款简单、快速、高效的DNA定向克隆</w:t>
      </w:r>
      <w:r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  <w:t>试剂盒</w:t>
      </w:r>
      <w:r>
        <w:rPr>
          <w:rFonts w:hint="default" w:ascii="Times New Roman" w:hAnsi="Times New Roman" w:cs="Times New Roman"/>
          <w:color w:val="000000"/>
          <w:sz w:val="18"/>
          <w:szCs w:val="18"/>
        </w:rPr>
        <w:t>，可以将插入片段定向克隆至任意载体的任意位点。</w:t>
      </w:r>
      <w:r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  <w:t>可以高效兼容1-5个片段同源重组，50℃反应10 - 30 min即可进行连接，适用于快速克隆，DNA定点突变等。</w:t>
      </w:r>
    </w:p>
    <w:p>
      <w:pPr>
        <w:spacing w:line="240" w:lineRule="auto"/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</w:pPr>
    </w:p>
    <w:p>
      <w:pPr>
        <w:spacing w:after="48" w:afterLines="20" w:line="240" w:lineRule="auto"/>
        <w:rPr>
          <w:rFonts w:hint="default" w:ascii="Times New Roman" w:hAnsi="Times New Roman" w:cs="Times New Roman"/>
          <w:b/>
          <w:bCs/>
          <w:color w:val="122A88"/>
          <w:sz w:val="24"/>
          <w:szCs w:val="24"/>
        </w:rPr>
      </w:pPr>
      <w:bookmarkStart w:id="0" w:name="_Toc143260275"/>
      <w:r>
        <w:rPr>
          <w:rFonts w:hint="default" w:ascii="Times New Roman" w:hAnsi="Times New Roman" w:cs="Times New Roman"/>
          <w:b/>
          <w:bCs/>
          <w:color w:val="122A88"/>
          <w:sz w:val="24"/>
          <w:szCs w:val="24"/>
        </w:rPr>
        <w:t>产品内容</w:t>
      </w:r>
      <w:bookmarkEnd w:id="0"/>
    </w:p>
    <w:tbl>
      <w:tblPr>
        <w:tblStyle w:val="5"/>
        <w:tblW w:w="4822" w:type="pct"/>
        <w:tblInd w:w="108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5"/>
        <w:gridCol w:w="1971"/>
        <w:gridCol w:w="237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35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bookmarkStart w:id="1" w:name="_Hlk149838241"/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组分</w:t>
            </w:r>
          </w:p>
        </w:tc>
        <w:tc>
          <w:tcPr>
            <w:tcW w:w="119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规格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DMR4-2a</w:t>
            </w:r>
          </w:p>
        </w:tc>
        <w:tc>
          <w:tcPr>
            <w:tcW w:w="144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规格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DMR4-3a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35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>
            <w:pPr>
              <w:spacing w:before="58" w:line="240" w:lineRule="auto"/>
              <w:ind w:left="107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 xml:space="preserve">2×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eastAsia="zh-CN"/>
              </w:rPr>
              <w:t>SiDoTek™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 xml:space="preserve"> One Step Cloning Mix</w:t>
            </w:r>
          </w:p>
        </w:tc>
        <w:tc>
          <w:tcPr>
            <w:tcW w:w="119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before="67" w:line="240" w:lineRule="auto"/>
              <w:ind w:left="225" w:right="217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100 μL</w:t>
            </w:r>
          </w:p>
        </w:tc>
        <w:tc>
          <w:tcPr>
            <w:tcW w:w="144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spacing w:before="67" w:line="240" w:lineRule="auto"/>
              <w:ind w:left="189" w:right="181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250 μL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35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</w:tcPr>
          <w:p>
            <w:pPr>
              <w:spacing w:before="58" w:line="240" w:lineRule="auto"/>
              <w:ind w:left="107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700bp Control Insert (10ng/μL)</w:t>
            </w:r>
          </w:p>
          <w:p>
            <w:pPr>
              <w:spacing w:before="58" w:line="240" w:lineRule="auto"/>
              <w:ind w:left="107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pCold Control Vector,linearized(20ng/μL)</w:t>
            </w:r>
          </w:p>
        </w:tc>
        <w:tc>
          <w:tcPr>
            <w:tcW w:w="119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</w:tcPr>
          <w:p>
            <w:pPr>
              <w:spacing w:before="58" w:line="240" w:lineRule="auto"/>
              <w:ind w:left="107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5 μL</w:t>
            </w:r>
          </w:p>
          <w:p>
            <w:pPr>
              <w:spacing w:before="58" w:line="240" w:lineRule="auto"/>
              <w:ind w:left="107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10 μL</w:t>
            </w:r>
          </w:p>
        </w:tc>
        <w:tc>
          <w:tcPr>
            <w:tcW w:w="144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</w:tcPr>
          <w:p>
            <w:pPr>
              <w:spacing w:before="58" w:line="240" w:lineRule="auto"/>
              <w:ind w:left="107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5 μL</w:t>
            </w:r>
          </w:p>
          <w:p>
            <w:pPr>
              <w:spacing w:before="58" w:line="240" w:lineRule="auto"/>
              <w:ind w:left="107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10 μL</w:t>
            </w:r>
          </w:p>
        </w:tc>
      </w:tr>
      <w:bookmarkEnd w:id="1"/>
    </w:tbl>
    <w:p>
      <w:pPr>
        <w:spacing w:line="240" w:lineRule="auto"/>
        <w:rPr>
          <w:rFonts w:hint="default" w:ascii="Times New Roman" w:hAnsi="Times New Roman" w:cs="Times New Roman"/>
          <w:color w:val="000000"/>
          <w:sz w:val="18"/>
          <w:szCs w:val="18"/>
        </w:rPr>
      </w:pPr>
    </w:p>
    <w:p>
      <w:pPr>
        <w:spacing w:after="48" w:afterLines="20" w:line="240" w:lineRule="auto"/>
        <w:rPr>
          <w:rFonts w:hint="default" w:ascii="Times New Roman" w:hAnsi="Times New Roman" w:cs="Times New Roman"/>
          <w:b/>
          <w:bCs/>
          <w:color w:val="122A88"/>
          <w:sz w:val="24"/>
          <w:szCs w:val="24"/>
        </w:rPr>
      </w:pPr>
      <w:bookmarkStart w:id="2" w:name="_Toc143260277"/>
      <w:r>
        <w:rPr>
          <w:rFonts w:hint="default" w:ascii="Times New Roman" w:hAnsi="Times New Roman" w:cs="Times New Roman"/>
          <w:b/>
          <w:bCs/>
          <w:color w:val="122A88"/>
          <w:sz w:val="24"/>
          <w:szCs w:val="24"/>
        </w:rPr>
        <w:t>注意事项</w:t>
      </w:r>
      <w:bookmarkEnd w:id="2"/>
      <w:r>
        <w:rPr>
          <w:rFonts w:hint="default" w:ascii="Times New Roman" w:hAnsi="Times New Roman" w:cs="Times New Roman"/>
          <w:b/>
          <w:bCs/>
          <w:color w:val="122A88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  <w:t>1. 请于使用前确保产品完全解冻，彻底混匀后短暂离心，置于冰上备用。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  <w:t xml:space="preserve">2. 反复冻融会影响产品的性能。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  <w:t>3. 为了您的安全和健康，请穿实验服并戴一次性手套操作。</w:t>
      </w:r>
    </w:p>
    <w:p>
      <w:pPr>
        <w:spacing w:line="240" w:lineRule="auto"/>
        <w:outlineLvl w:val="0"/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</w:pPr>
      <w:bookmarkStart w:id="3" w:name="_Toc143260278"/>
    </w:p>
    <w:p>
      <w:pPr>
        <w:spacing w:after="48" w:afterLines="20" w:line="240" w:lineRule="auto"/>
        <w:rPr>
          <w:rFonts w:hint="default" w:ascii="Times New Roman" w:hAnsi="Times New Roman" w:cs="Times New Roman"/>
          <w:b/>
          <w:bCs/>
          <w:color w:val="122A88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/>
          <w:bCs/>
          <w:color w:val="122A88"/>
          <w:sz w:val="24"/>
          <w:szCs w:val="24"/>
          <w:lang w:eastAsia="zh-CN"/>
        </w:rPr>
        <w:t>实验流程</w:t>
      </w:r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61" w:firstLineChars="200"/>
        <w:textAlignment w:val="auto"/>
        <w:rPr>
          <w:rFonts w:hint="default" w:ascii="Times New Roman" w:hAnsi="Times New Roman" w:cs="Times New Roman"/>
          <w:b/>
          <w:bCs/>
          <w:color w:val="000000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18"/>
          <w:szCs w:val="18"/>
          <w:lang w:eastAsia="zh-CN"/>
        </w:rPr>
        <w:t>1 制备线性化载体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  <w:t xml:space="preserve">  选择合适的克隆位点，并对载体进行线性化。尽量选择无重复序列且载体克隆位点上下游20bp区域内GC含量在40%-60%之间的位点进行克隆。载体线性化方式主要有：限制性内切酶酶切消化和反向PCR扩增两种。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  <w:t>1）限制性内切酶酶切制备线性化载体时，推荐使用双酶切方案。尽管单酶切线性化并不影响无缝链接，但可能会有更多的环状质粒残留，增加后期克隆的筛选难度。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  <w:t>2）反向PCR扩增制备线性化载体时，必须使用高保真DNA聚合酶进行载体扩增，以减少扩增突变的引入。PCR产物需要进行胶回收，减少环状质粒（环状DNA模板）的残留。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61" w:firstLineChars="200"/>
        <w:textAlignment w:val="auto"/>
        <w:rPr>
          <w:rFonts w:hint="default" w:ascii="Times New Roman" w:hAnsi="Times New Roman" w:cs="Times New Roman"/>
          <w:b/>
          <w:bCs/>
          <w:color w:val="000000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18"/>
          <w:szCs w:val="18"/>
          <w:lang w:eastAsia="zh-CN"/>
        </w:rPr>
        <w:t>2 制备插入片段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  <w:t xml:space="preserve">  通过在插入片段正、反向引物5</w:t>
      </w:r>
      <w:r>
        <w:rPr>
          <w:rFonts w:hint="default" w:ascii="Times New Roman" w:hAnsi="Times New Roman" w:cs="Times New Roman"/>
          <w:b/>
          <w:color w:val="000000"/>
          <w:sz w:val="18"/>
          <w:szCs w:val="18"/>
          <w:vertAlign w:val="superscript"/>
          <w:lang w:eastAsia="zh-CN"/>
        </w:rPr>
        <w:t>，</w:t>
      </w:r>
      <w:r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  <w:t>端，引入15-25bp线性化载体末端同源序列，使得插入片段PCR产物5</w:t>
      </w:r>
      <w:r>
        <w:rPr>
          <w:rFonts w:hint="default" w:ascii="Times New Roman" w:hAnsi="Times New Roman" w:cs="Times New Roman"/>
          <w:b/>
          <w:color w:val="000000"/>
          <w:sz w:val="18"/>
          <w:szCs w:val="18"/>
          <w:vertAlign w:val="superscript"/>
          <w:lang w:eastAsia="zh-CN"/>
        </w:rPr>
        <w:t>，</w:t>
      </w:r>
      <w:r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  <w:t>端和3</w:t>
      </w:r>
      <w:r>
        <w:rPr>
          <w:rFonts w:hint="default" w:ascii="Times New Roman" w:hAnsi="Times New Roman" w:cs="Times New Roman"/>
          <w:b/>
          <w:color w:val="000000"/>
          <w:sz w:val="18"/>
          <w:szCs w:val="18"/>
          <w:vertAlign w:val="superscript"/>
          <w:lang w:eastAsia="zh-CN"/>
        </w:rPr>
        <w:t>，</w:t>
      </w:r>
      <w:r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  <w:t>端的末端分别带有与线性化载体的两个末端对应的完全一致的序列。使用高保真PCR Mix完成扩增，获得PCR产物后，进行琼脂糖凝胶电泳分析，并回收正确的产物片段。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  <w:t xml:space="preserve">  插入片段正向扩增引物设计方式：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  <w:t xml:space="preserve">  5’-上游载体末端同源序列+酶切位点（保留或删除）+基因特异性正向扩增引物序列-3’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  <w:t xml:space="preserve">  插入片段反向扩增引物设计方式：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  <w:t xml:space="preserve">  3’-基因特异性反向扩增引物序列+酶切位点（保留或删除）+下游载体末端同源序列-5’</w:t>
      </w:r>
    </w:p>
    <w:p>
      <w:pPr>
        <w:spacing w:line="240" w:lineRule="auto"/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</w:pPr>
    </w:p>
    <w:p>
      <w:pPr>
        <w:spacing w:line="240" w:lineRule="auto"/>
        <w:rPr>
          <w:rFonts w:hint="default" w:ascii="Times New Roman" w:hAnsi="Times New Roman" w:cs="Times New Roman"/>
          <w:b/>
          <w:bCs/>
          <w:color w:val="000000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Cs w:val="21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2464435</wp:posOffset>
            </wp:positionH>
            <wp:positionV relativeFrom="paragraph">
              <wp:posOffset>-237490</wp:posOffset>
            </wp:positionV>
            <wp:extent cx="3829685" cy="4058285"/>
            <wp:effectExtent l="0" t="0" r="10795" b="10795"/>
            <wp:wrapTight wrapText="bothSides">
              <wp:wrapPolygon>
                <wp:start x="0" y="0"/>
                <wp:lineTo x="0" y="21495"/>
                <wp:lineTo x="21489" y="21495"/>
                <wp:lineTo x="21489" y="0"/>
                <wp:lineTo x="0" y="0"/>
              </wp:wrapPolygon>
            </wp:wrapTight>
            <wp:docPr id="108881258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812585" name="图片 5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685" cy="4058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/>
        <w:rPr>
          <w:rFonts w:hint="default" w:ascii="Times New Roman" w:hAnsi="Times New Roman" w:cs="Times New Roman"/>
          <w:b/>
          <w:bCs/>
          <w:color w:val="000000"/>
          <w:sz w:val="18"/>
          <w:szCs w:val="18"/>
          <w:lang w:eastAsia="zh-CN"/>
        </w:rPr>
      </w:pPr>
    </w:p>
    <w:p>
      <w:pPr>
        <w:spacing w:line="240" w:lineRule="auto"/>
        <w:rPr>
          <w:rFonts w:hint="default" w:ascii="Times New Roman" w:hAnsi="Times New Roman" w:cs="Times New Roman"/>
          <w:b/>
          <w:bCs/>
          <w:color w:val="000000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color w:val="000000"/>
          <w:sz w:val="18"/>
          <w:szCs w:val="18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49530</wp:posOffset>
            </wp:positionH>
            <wp:positionV relativeFrom="paragraph">
              <wp:posOffset>127000</wp:posOffset>
            </wp:positionV>
            <wp:extent cx="2383790" cy="2203450"/>
            <wp:effectExtent l="0" t="0" r="8890" b="6350"/>
            <wp:wrapNone/>
            <wp:docPr id="89067284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672841" name="图片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4407"/>
                    <a:stretch>
                      <a:fillRect/>
                    </a:stretch>
                  </pic:blipFill>
                  <pic:spPr>
                    <a:xfrm>
                      <a:off x="0" y="0"/>
                      <a:ext cx="2383703" cy="220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240" w:lineRule="auto"/>
        <w:ind w:firstLine="361" w:firstLineChars="200"/>
        <w:rPr>
          <w:rFonts w:hint="default" w:ascii="Times New Roman" w:hAnsi="Times New Roman" w:cs="Times New Roman"/>
          <w:b/>
          <w:bCs/>
          <w:color w:val="000000"/>
          <w:sz w:val="18"/>
          <w:szCs w:val="18"/>
          <w:lang w:eastAsia="zh-CN"/>
        </w:rPr>
      </w:pPr>
    </w:p>
    <w:p>
      <w:pPr>
        <w:spacing w:line="240" w:lineRule="auto"/>
        <w:ind w:firstLine="361" w:firstLineChars="200"/>
        <w:rPr>
          <w:rFonts w:hint="default" w:ascii="Times New Roman" w:hAnsi="Times New Roman" w:cs="Times New Roman"/>
          <w:b/>
          <w:bCs/>
          <w:color w:val="000000"/>
          <w:sz w:val="18"/>
          <w:szCs w:val="18"/>
          <w:lang w:eastAsia="zh-CN"/>
        </w:rPr>
      </w:pPr>
    </w:p>
    <w:p>
      <w:pPr>
        <w:spacing w:line="240" w:lineRule="auto"/>
        <w:ind w:firstLine="361" w:firstLineChars="200"/>
        <w:rPr>
          <w:rFonts w:hint="default" w:ascii="Times New Roman" w:hAnsi="Times New Roman" w:cs="Times New Roman"/>
          <w:b/>
          <w:bCs/>
          <w:color w:val="000000"/>
          <w:sz w:val="18"/>
          <w:szCs w:val="18"/>
          <w:lang w:eastAsia="zh-CN"/>
        </w:rPr>
      </w:pPr>
    </w:p>
    <w:p>
      <w:pPr>
        <w:spacing w:line="240" w:lineRule="auto"/>
        <w:ind w:firstLine="361" w:firstLineChars="200"/>
        <w:rPr>
          <w:rFonts w:hint="default" w:ascii="Times New Roman" w:hAnsi="Times New Roman" w:cs="Times New Roman"/>
          <w:b/>
          <w:bCs/>
          <w:color w:val="000000"/>
          <w:sz w:val="18"/>
          <w:szCs w:val="18"/>
          <w:lang w:eastAsia="zh-CN"/>
        </w:rPr>
      </w:pPr>
    </w:p>
    <w:p>
      <w:pPr>
        <w:spacing w:line="240" w:lineRule="auto"/>
        <w:ind w:firstLine="361" w:firstLineChars="200"/>
        <w:rPr>
          <w:rFonts w:hint="default" w:ascii="Times New Roman" w:hAnsi="Times New Roman" w:cs="Times New Roman"/>
          <w:b/>
          <w:bCs/>
          <w:color w:val="000000"/>
          <w:sz w:val="18"/>
          <w:szCs w:val="18"/>
          <w:lang w:eastAsia="zh-CN"/>
        </w:rPr>
      </w:pPr>
    </w:p>
    <w:p>
      <w:pPr>
        <w:spacing w:line="240" w:lineRule="auto"/>
        <w:ind w:firstLine="361" w:firstLineChars="200"/>
        <w:rPr>
          <w:rFonts w:hint="default" w:ascii="Times New Roman" w:hAnsi="Times New Roman" w:cs="Times New Roman"/>
          <w:b/>
          <w:bCs/>
          <w:color w:val="000000"/>
          <w:sz w:val="18"/>
          <w:szCs w:val="18"/>
          <w:lang w:eastAsia="zh-CN"/>
        </w:rPr>
      </w:pPr>
    </w:p>
    <w:p>
      <w:pPr>
        <w:spacing w:line="240" w:lineRule="auto"/>
        <w:ind w:firstLine="361" w:firstLineChars="200"/>
        <w:rPr>
          <w:rFonts w:hint="default" w:ascii="Times New Roman" w:hAnsi="Times New Roman" w:cs="Times New Roman"/>
          <w:b/>
          <w:bCs/>
          <w:color w:val="000000"/>
          <w:sz w:val="18"/>
          <w:szCs w:val="18"/>
          <w:lang w:eastAsia="zh-CN"/>
        </w:rPr>
      </w:pPr>
    </w:p>
    <w:p>
      <w:pPr>
        <w:spacing w:line="240" w:lineRule="auto"/>
        <w:ind w:firstLine="361" w:firstLineChars="200"/>
        <w:rPr>
          <w:rFonts w:hint="default" w:ascii="Times New Roman" w:hAnsi="Times New Roman" w:cs="Times New Roman"/>
          <w:b/>
          <w:bCs/>
          <w:color w:val="000000"/>
          <w:sz w:val="18"/>
          <w:szCs w:val="18"/>
          <w:lang w:eastAsia="zh-CN"/>
        </w:rPr>
      </w:pPr>
    </w:p>
    <w:p>
      <w:pPr>
        <w:spacing w:line="240" w:lineRule="auto"/>
        <w:ind w:firstLine="361" w:firstLineChars="200"/>
        <w:rPr>
          <w:rFonts w:hint="default" w:ascii="Times New Roman" w:hAnsi="Times New Roman" w:cs="Times New Roman"/>
          <w:b/>
          <w:bCs/>
          <w:color w:val="000000"/>
          <w:sz w:val="18"/>
          <w:szCs w:val="18"/>
          <w:lang w:eastAsia="zh-CN"/>
        </w:rPr>
      </w:pPr>
    </w:p>
    <w:p>
      <w:pPr>
        <w:spacing w:line="240" w:lineRule="auto"/>
        <w:ind w:firstLine="361" w:firstLineChars="200"/>
        <w:rPr>
          <w:rFonts w:hint="default" w:ascii="Times New Roman" w:hAnsi="Times New Roman" w:cs="Times New Roman"/>
          <w:b/>
          <w:bCs/>
          <w:color w:val="000000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18"/>
          <w:szCs w:val="18"/>
          <w:lang w:eastAsia="zh-CN"/>
        </w:rPr>
        <w:t>一步快速克隆试剂盒实验流程图</w:t>
      </w:r>
    </w:p>
    <w:p>
      <w:pPr>
        <w:spacing w:line="240" w:lineRule="auto"/>
        <w:ind w:firstLine="361" w:firstLineChars="200"/>
        <w:rPr>
          <w:rFonts w:hint="default" w:ascii="Times New Roman" w:hAnsi="Times New Roman" w:cs="Times New Roman"/>
          <w:b/>
          <w:bCs/>
          <w:color w:val="000000"/>
          <w:sz w:val="18"/>
          <w:szCs w:val="18"/>
          <w:lang w:eastAsia="zh-CN"/>
        </w:rPr>
      </w:pPr>
    </w:p>
    <w:p>
      <w:pPr>
        <w:spacing w:line="240" w:lineRule="auto"/>
        <w:ind w:firstLine="723" w:firstLineChars="400"/>
        <w:rPr>
          <w:rFonts w:hint="default" w:ascii="Times New Roman" w:hAnsi="Times New Roman" w:cs="Times New Roman"/>
          <w:b/>
          <w:bCs/>
          <w:color w:val="000000"/>
          <w:sz w:val="18"/>
          <w:szCs w:val="18"/>
          <w:lang w:eastAsia="zh-CN"/>
        </w:rPr>
      </w:pPr>
    </w:p>
    <w:p>
      <w:pPr>
        <w:spacing w:line="240" w:lineRule="auto"/>
        <w:ind w:firstLine="723" w:firstLineChars="400"/>
        <w:rPr>
          <w:rFonts w:hint="default" w:ascii="Times New Roman" w:hAnsi="Times New Roman" w:cs="Times New Roman"/>
          <w:b/>
          <w:bCs/>
          <w:color w:val="000000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18"/>
          <w:szCs w:val="18"/>
          <w:lang w:eastAsia="zh-CN"/>
        </w:rPr>
        <w:t>一步法多片段无缝克隆</w:t>
      </w:r>
      <w:r>
        <w:rPr>
          <w:rFonts w:hint="eastAsia" w:ascii="Times New Roman" w:hAnsi="Times New Roman" w:cs="Times New Roman"/>
          <w:b/>
          <w:bCs/>
          <w:color w:val="000000"/>
          <w:sz w:val="18"/>
          <w:szCs w:val="18"/>
          <w:lang w:val="en-US" w:eastAsia="zh-CN"/>
        </w:rPr>
        <w:t>流程</w:t>
      </w:r>
    </w:p>
    <w:p>
      <w:pPr>
        <w:spacing w:line="240" w:lineRule="auto"/>
        <w:ind w:firstLine="361" w:firstLineChars="200"/>
        <w:rPr>
          <w:rFonts w:hint="default" w:ascii="Times New Roman" w:hAnsi="Times New Roman" w:cs="Times New Roman"/>
          <w:b/>
          <w:bCs/>
          <w:color w:val="000000"/>
          <w:sz w:val="18"/>
          <w:szCs w:val="18"/>
          <w:lang w:eastAsia="zh-CN"/>
        </w:rPr>
      </w:pPr>
    </w:p>
    <w:p>
      <w:pPr>
        <w:spacing w:line="240" w:lineRule="auto"/>
        <w:ind w:firstLine="361" w:firstLineChars="200"/>
        <w:rPr>
          <w:rFonts w:hint="default" w:ascii="Times New Roman" w:hAnsi="Times New Roman" w:cs="Times New Roman"/>
          <w:b/>
          <w:bCs/>
          <w:color w:val="000000"/>
          <w:sz w:val="18"/>
          <w:szCs w:val="18"/>
          <w:lang w:eastAsia="zh-CN"/>
        </w:rPr>
      </w:pPr>
    </w:p>
    <w:p>
      <w:pPr>
        <w:spacing w:line="240" w:lineRule="auto"/>
        <w:rPr>
          <w:rFonts w:hint="default" w:ascii="Times New Roman" w:hAnsi="Times New Roman" w:cs="Times New Roman"/>
          <w:b/>
          <w:bCs/>
          <w:color w:val="000000"/>
          <w:sz w:val="18"/>
          <w:szCs w:val="18"/>
          <w:lang w:eastAsia="zh-CN"/>
        </w:rPr>
      </w:pPr>
    </w:p>
    <w:p>
      <w:pPr>
        <w:spacing w:line="240" w:lineRule="auto"/>
        <w:rPr>
          <w:rFonts w:hint="default" w:ascii="Times New Roman" w:hAnsi="Times New Roman" w:cs="Times New Roman"/>
          <w:b/>
          <w:bCs/>
          <w:color w:val="000000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2749550</wp:posOffset>
                </wp:positionH>
                <wp:positionV relativeFrom="paragraph">
                  <wp:posOffset>132080</wp:posOffset>
                </wp:positionV>
                <wp:extent cx="2876550" cy="1403985"/>
                <wp:effectExtent l="0" t="0" r="0" b="0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ind w:firstLine="361" w:firstLineChars="200"/>
                              <w:rPr>
                                <w:rFonts w:hint="eastAsia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zh-CN"/>
                              </w:rPr>
                              <w:t>克隆载体选用双酶切/单酶切线性化的对比图解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216.5pt;margin-top:10.4pt;height:110.55pt;width:226.5pt;z-index:251664384;mso-width-relative:page;mso-height-relative:margin;mso-height-percent:200;" filled="f" stroked="f" coordsize="21600,21600" o:gfxdata="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tvYXr2AAAAAoBAAAPAAAAAAAAAAEAIAAAACIAAABkcnMvZG93bnJldi54bWxQSwECFAAUAAAA&#10;CACHTuJACTDKRCcCAAAsBAAADgAAAAAAAAABACAAAAAn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auto"/>
                        <w:ind w:firstLine="361" w:firstLineChars="200"/>
                        <w:rPr>
                          <w:rFonts w:hint="eastAsia"/>
                          <w:b/>
                          <w:bCs/>
                          <w:color w:val="000000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/>
                          <w:sz w:val="18"/>
                          <w:szCs w:val="18"/>
                          <w:lang w:eastAsia="zh-CN"/>
                        </w:rPr>
                        <w:t>克隆载体选用双酶切/单酶切线性化的对比图解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240" w:lineRule="auto"/>
        <w:ind w:firstLine="361" w:firstLineChars="200"/>
        <w:rPr>
          <w:rFonts w:hint="default" w:ascii="Times New Roman" w:hAnsi="Times New Roman" w:cs="Times New Roman"/>
          <w:b/>
          <w:bCs/>
          <w:color w:val="000000"/>
          <w:sz w:val="18"/>
          <w:szCs w:val="18"/>
          <w:lang w:eastAsia="zh-CN"/>
        </w:rPr>
      </w:pPr>
    </w:p>
    <w:p>
      <w:pPr>
        <w:spacing w:line="240" w:lineRule="auto"/>
        <w:ind w:firstLine="361" w:firstLineChars="200"/>
        <w:rPr>
          <w:rFonts w:hint="default" w:ascii="Times New Roman" w:hAnsi="Times New Roman" w:cs="Times New Roman"/>
          <w:b/>
          <w:bCs/>
          <w:color w:val="000000"/>
          <w:sz w:val="18"/>
          <w:szCs w:val="18"/>
          <w:lang w:eastAsia="zh-CN"/>
        </w:rPr>
      </w:pPr>
    </w:p>
    <w:p>
      <w:pPr>
        <w:spacing w:line="240" w:lineRule="auto"/>
        <w:ind w:firstLine="361" w:firstLineChars="200"/>
        <w:rPr>
          <w:rFonts w:hint="default" w:ascii="Times New Roman" w:hAnsi="Times New Roman" w:cs="Times New Roman"/>
          <w:b/>
          <w:bCs/>
          <w:color w:val="000000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18"/>
          <w:szCs w:val="18"/>
          <w:lang w:eastAsia="zh-CN"/>
        </w:rPr>
        <w:t>3 线性化载体与插入片段浓度测定</w:t>
      </w:r>
    </w:p>
    <w:p>
      <w:pPr>
        <w:spacing w:line="240" w:lineRule="auto"/>
        <w:ind w:firstLine="360" w:firstLineChars="200"/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  <w:t>使用NanoDrop超微量生物检测仪或Qubit，检测线性化载体和插入片段的浓度。</w:t>
      </w:r>
    </w:p>
    <w:p>
      <w:pPr>
        <w:spacing w:line="240" w:lineRule="auto"/>
        <w:ind w:firstLine="361" w:firstLineChars="200"/>
        <w:rPr>
          <w:rFonts w:hint="default" w:ascii="Times New Roman" w:hAnsi="Times New Roman" w:cs="Times New Roman"/>
          <w:b/>
          <w:bCs/>
          <w:color w:val="000000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18"/>
          <w:szCs w:val="18"/>
          <w:lang w:eastAsia="zh-CN"/>
        </w:rPr>
        <w:t>4 重组反应体系的配制</w:t>
      </w:r>
    </w:p>
    <w:p>
      <w:pPr>
        <w:spacing w:line="240" w:lineRule="auto"/>
        <w:ind w:firstLine="360" w:firstLineChars="200"/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  <w:t>1）线性化载体和插入片段使用量计算</w:t>
      </w:r>
    </w:p>
    <w:p>
      <w:pPr>
        <w:spacing w:line="240" w:lineRule="auto"/>
        <w:ind w:firstLine="360" w:firstLineChars="200"/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  <w:t>载体与插入片段摩尔比为1:2 ~ 1:3；当插入片段长度大于克隆载体时，将插入片段当作克隆载体，克隆载体当作插入片段计算。</w:t>
      </w:r>
    </w:p>
    <w:p>
      <w:pPr>
        <w:spacing w:line="240" w:lineRule="auto"/>
        <w:ind w:firstLine="360" w:firstLineChars="200"/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  <w:t>2）在冰上配制10</w:t>
      </w:r>
      <w:r>
        <w:rPr>
          <w:rFonts w:hint="default" w:ascii="Times New Roman" w:hAnsi="Times New Roman" w:cs="Times New Roman"/>
          <w:color w:val="000000"/>
          <w:sz w:val="18"/>
          <w:szCs w:val="18"/>
        </w:rPr>
        <w:t>μ</w:t>
      </w:r>
      <w:r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  <w:t>L反应体系：</w:t>
      </w:r>
    </w:p>
    <w:tbl>
      <w:tblPr>
        <w:tblStyle w:val="5"/>
        <w:tblW w:w="4760" w:type="pct"/>
        <w:tblInd w:w="108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3"/>
        <w:gridCol w:w="1296"/>
        <w:gridCol w:w="1337"/>
        <w:gridCol w:w="349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12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组分</w:t>
            </w:r>
          </w:p>
        </w:tc>
        <w:tc>
          <w:tcPr>
            <w:tcW w:w="79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实验组</w:t>
            </w:r>
          </w:p>
        </w:tc>
        <w:tc>
          <w:tcPr>
            <w:tcW w:w="82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阴性对照</w:t>
            </w:r>
          </w:p>
        </w:tc>
        <w:tc>
          <w:tcPr>
            <w:tcW w:w="215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阳性对照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122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spacing w:before="58" w:line="240" w:lineRule="auto"/>
              <w:ind w:left="107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线性化载体</w:t>
            </w:r>
          </w:p>
        </w:tc>
        <w:tc>
          <w:tcPr>
            <w:tcW w:w="79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spacing w:before="67" w:line="240" w:lineRule="auto"/>
              <w:ind w:left="225" w:right="217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2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spacing w:before="67" w:line="240" w:lineRule="auto"/>
              <w:ind w:left="189" w:right="181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215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spacing w:before="67" w:line="240" w:lineRule="auto"/>
              <w:ind w:left="189" w:right="181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pCold Control Vector,linearized  1 μL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spacing w:before="67" w:line="240" w:lineRule="auto"/>
              <w:ind w:left="107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插入片段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spacing w:before="67" w:line="240" w:lineRule="auto"/>
              <w:ind w:left="225" w:right="215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spacing w:before="65" w:line="240" w:lineRule="auto"/>
              <w:ind w:left="189" w:right="184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spacing w:before="65" w:line="240" w:lineRule="auto"/>
              <w:ind w:left="189" w:right="184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700bp Control Insert  1 μL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spacing w:before="67" w:line="240" w:lineRule="auto"/>
              <w:ind w:left="107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2×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SiDoTek™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 xml:space="preserve"> One Step Cloning Mix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spacing w:before="67" w:line="240" w:lineRule="auto"/>
              <w:ind w:left="225" w:right="215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spacing w:before="65" w:line="240" w:lineRule="auto"/>
              <w:ind w:left="189" w:right="184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bookmarkStart w:id="4" w:name="_GoBack"/>
            <w:bookmarkEnd w:id="4"/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spacing w:before="65" w:line="240" w:lineRule="auto"/>
              <w:ind w:left="189" w:right="184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5 μL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122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spacing w:before="67" w:line="240" w:lineRule="auto"/>
              <w:ind w:left="107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DNase-Free Water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>
            <w:pPr>
              <w:spacing w:before="67" w:line="240" w:lineRule="auto"/>
              <w:ind w:left="225" w:right="215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to 10μL</w:t>
            </w:r>
          </w:p>
        </w:tc>
        <w:tc>
          <w:tcPr>
            <w:tcW w:w="82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>
            <w:pPr>
              <w:spacing w:before="65" w:line="240" w:lineRule="auto"/>
              <w:ind w:left="189" w:right="184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to 10μL</w:t>
            </w:r>
          </w:p>
        </w:tc>
        <w:tc>
          <w:tcPr>
            <w:tcW w:w="215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>
            <w:pPr>
              <w:spacing w:before="65" w:line="240" w:lineRule="auto"/>
              <w:ind w:left="189" w:right="184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to 10μL</w:t>
            </w:r>
          </w:p>
        </w:tc>
      </w:tr>
    </w:tbl>
    <w:p>
      <w:pPr>
        <w:spacing w:line="240" w:lineRule="auto"/>
        <w:ind w:firstLine="360" w:firstLineChars="200"/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  <w:t>3） 使用移液器轻轻吸打混匀并瞬时离心。</w:t>
      </w:r>
    </w:p>
    <w:p>
      <w:pPr>
        <w:spacing w:line="240" w:lineRule="auto"/>
        <w:ind w:firstLine="360" w:firstLineChars="200"/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  <w:t>4） 50℃反应 X min， 4℃维持或取出后置于冰上冷却。（其中，X 代表不同数量插入片段的参考反应时间。当插入1个片段时，反应条件为50℃，5min；当插入片段数为2,3,4,5,6个时，建议反应条件为50℃，对应的反应时间分别是10 min,20 min,30 min,40 min,50min。超长载体片段连接时，建议反应时间为40-60min。）</w:t>
      </w:r>
    </w:p>
    <w:p>
      <w:pPr>
        <w:spacing w:line="240" w:lineRule="auto"/>
        <w:ind w:firstLine="360" w:firstLineChars="200"/>
        <w:rPr>
          <w:rFonts w:hint="eastAsia" w:eastAsia="宋体"/>
          <w:lang w:eastAsia="zh-CN"/>
        </w:rPr>
      </w:pPr>
      <w:r>
        <w:rPr>
          <w:rFonts w:hint="default" w:ascii="Times New Roman" w:hAnsi="Times New Roman" w:cs="Times New Roman"/>
          <w:color w:val="000000"/>
          <w:sz w:val="18"/>
          <w:szCs w:val="18"/>
          <w:lang w:eastAsia="zh-CN"/>
        </w:rPr>
        <w:t>5） 重组反应转化、涂板，具体方法参照感受态细胞的说明书。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 w:eastAsia="宋体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904240</wp:posOffset>
              </wp:positionH>
              <wp:positionV relativeFrom="paragraph">
                <wp:posOffset>74295</wp:posOffset>
              </wp:positionV>
              <wp:extent cx="6103620" cy="692785"/>
              <wp:effectExtent l="0" t="0" r="11430" b="12065"/>
              <wp:wrapNone/>
              <wp:docPr id="5" name="自选图形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6103620" cy="692785"/>
                      </a:xfrm>
                      <a:custGeom>
                        <a:avLst/>
                        <a:gdLst>
                          <a:gd name="txL" fmla="*/ 2437 w 21600"/>
                          <a:gd name="txT" fmla="*/ 2437 h 21600"/>
                          <a:gd name="txR" fmla="*/ 19162 w 21600"/>
                          <a:gd name="txB" fmla="*/ 19162 h 21600"/>
                        </a:gdLst>
                        <a:ahLst/>
                        <a:cxnLst>
                          <a:cxn ang="0">
                            <a:pos x="20962" y="10800"/>
                          </a:cxn>
                          <a:cxn ang="90">
                            <a:pos x="10800" y="21600"/>
                          </a:cxn>
                          <a:cxn ang="180">
                            <a:pos x="637" y="10800"/>
                          </a:cxn>
                          <a:cxn ang="270">
                            <a:pos x="10800" y="0"/>
                          </a:cxn>
                        </a:cxnLst>
                        <a:rect l="txL" t="txT" r="txR" b="tx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1275" y="21600"/>
                            </a:lnTo>
                            <a:lnTo>
                              <a:pt x="20325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8CBB35">
                          <a:alpha val="59999"/>
                        </a:srgbClr>
                      </a:solidFill>
                      <a:ln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shape id="自选图形 8" o:spid="_x0000_s1026" o:spt="100" style="position:absolute;left:0pt;margin-left:71.2pt;margin-top:5.85pt;height:54.55pt;width:480.6pt;rotation:11796480f;z-index:251663360;mso-width-relative:page;mso-height-relative:page;" fillcolor="#8CBB35" filled="t" stroked="f" coordsize="21600,21600" o:gfxdata="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" path="m0,0l1275,21600,20325,21600,21600,0xe">
              <v:path o:connectlocs="20962,10800;10800,21600;637,10800;10800,0" o:connectangles="0,0,0,0"/>
              <v:fill on="t" opacity="39320f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hint="eastAsia" w:eastAsia="宋体"/>
        <w:lang w:eastAsia="zh-CN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-1059180</wp:posOffset>
          </wp:positionH>
          <wp:positionV relativeFrom="paragraph">
            <wp:posOffset>210820</wp:posOffset>
          </wp:positionV>
          <wp:extent cx="1811020" cy="721995"/>
          <wp:effectExtent l="0" t="0" r="17780" b="0"/>
          <wp:wrapNone/>
          <wp:docPr id="6" name="图片 11" descr="西岛生物 SiDoTek 横板_画板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1" descr="西岛生物 SiDoTek 横板_画板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11020" cy="721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-1138555</wp:posOffset>
              </wp:positionH>
              <wp:positionV relativeFrom="paragraph">
                <wp:posOffset>365125</wp:posOffset>
              </wp:positionV>
              <wp:extent cx="7585710" cy="414020"/>
              <wp:effectExtent l="0" t="0" r="15240" b="5080"/>
              <wp:wrapNone/>
              <wp:docPr id="1" name="矩形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759460" y="5626735"/>
                        <a:ext cx="7585710" cy="414020"/>
                      </a:xfrm>
                      <a:prstGeom prst="rect">
                        <a:avLst/>
                      </a:prstGeom>
                      <a:solidFill>
                        <a:srgbClr val="45B2B4">
                          <a:alpha val="59999"/>
                        </a:srgbClr>
                      </a:solidFill>
                      <a:ln w="9525"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rect id="矩形 9" o:spid="_x0000_s1026" o:spt="1" style="position:absolute;left:0pt;margin-left:-89.65pt;margin-top:28.75pt;height:32.6pt;width:597.3pt;z-index:251659264;mso-width-relative:page;mso-height-relative:page;" fillcolor="#45B2B4" filled="t" stroked="f" coordsize="21600,21600" o:gfxdata="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JUn1ZXbAAAADAEAAA8AAAAAAAAAAQAgAAAAIgAAAGRycy9kb3ducmV2LnhtbFBLAQIUABQAAAAI&#10;AIdO4kA6Zy5T6gEAALkDAAAOAAAAAAAAAAEAIAAAACoBAABkcnMvZTJvRG9jLnhtbFBLBQYAAAAA&#10;BgAGAFkBAACGBQAAAAA=&#10;">
              <v:fill on="t" opacity="39320f" focussize="0,0"/>
              <v:stroke on="f"/>
              <v:imagedata o:title=""/>
              <o:lock v:ext="edit" aspectratio="f"/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-1087755</wp:posOffset>
          </wp:positionH>
          <wp:positionV relativeFrom="paragraph">
            <wp:posOffset>-607060</wp:posOffset>
          </wp:positionV>
          <wp:extent cx="1633855" cy="651510"/>
          <wp:effectExtent l="0" t="0" r="0" b="0"/>
          <wp:wrapNone/>
          <wp:docPr id="4" name="图片 5" descr="西岛生物 SiDoTek 横板_画板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5" descr="西岛生物 SiDoTek 横板_画板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385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925195</wp:posOffset>
              </wp:positionH>
              <wp:positionV relativeFrom="paragraph">
                <wp:posOffset>-548640</wp:posOffset>
              </wp:positionV>
              <wp:extent cx="6003290" cy="678815"/>
              <wp:effectExtent l="0" t="0" r="16510" b="6985"/>
              <wp:wrapNone/>
              <wp:docPr id="3" name="自选图形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03290" cy="678815"/>
                      </a:xfrm>
                      <a:custGeom>
                        <a:avLst/>
                        <a:gdLst>
                          <a:gd name="txL" fmla="*/ 2369 w 21600"/>
                          <a:gd name="txT" fmla="*/ 2369 h 21600"/>
                          <a:gd name="txR" fmla="*/ 19230 w 21600"/>
                          <a:gd name="txB" fmla="*/ 19230 h 21600"/>
                        </a:gdLst>
                        <a:ahLst/>
                        <a:cxnLst>
                          <a:cxn ang="0">
                            <a:pos x="21030" y="10800"/>
                          </a:cxn>
                          <a:cxn ang="90">
                            <a:pos x="10800" y="21600"/>
                          </a:cxn>
                          <a:cxn ang="180">
                            <a:pos x="569" y="10800"/>
                          </a:cxn>
                          <a:cxn ang="270">
                            <a:pos x="10800" y="0"/>
                          </a:cxn>
                        </a:cxnLst>
                        <a:rect l="txL" t="txT" r="txR" b="tx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1139" y="21600"/>
                            </a:lnTo>
                            <a:lnTo>
                              <a:pt x="20461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45B2B4">
                          <a:alpha val="59999"/>
                        </a:srgbClr>
                      </a:solidFill>
                      <a:ln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shape id="自选图形 4" o:spid="_x0000_s1026" o:spt="100" style="position:absolute;left:0pt;margin-left:72.85pt;margin-top:-43.2pt;height:53.45pt;width:472.7pt;z-index:251661312;mso-width-relative:page;mso-height-relative:page;" fillcolor="#45B2B4" filled="t" stroked="f" coordsize="21600,21600" o:gfxdata="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" path="m0,0l1139,21600,20461,21600,21600,0xe">
              <v:path o:connectlocs="21030,10800;10800,21600;569,10800;10800,0" o:connectangles="0,0,0,0"/>
              <v:fill on="t" opacity="39320f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542925</wp:posOffset>
              </wp:positionH>
              <wp:positionV relativeFrom="paragraph">
                <wp:posOffset>-551180</wp:posOffset>
              </wp:positionV>
              <wp:extent cx="6348095" cy="468630"/>
              <wp:effectExtent l="0" t="0" r="14605" b="7620"/>
              <wp:wrapNone/>
              <wp:docPr id="2" name="自选图形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704340" y="800100"/>
                        <a:ext cx="6348095" cy="468630"/>
                      </a:xfrm>
                      <a:custGeom>
                        <a:avLst/>
                        <a:gdLst>
                          <a:gd name="txL" fmla="*/ 2172 w 21600"/>
                          <a:gd name="txT" fmla="*/ 2172 h 21600"/>
                          <a:gd name="txR" fmla="*/ 19427 w 21600"/>
                          <a:gd name="txB" fmla="*/ 19427 h 21600"/>
                        </a:gdLst>
                        <a:ahLst/>
                        <a:cxnLst>
                          <a:cxn ang="0">
                            <a:pos x="21227" y="10800"/>
                          </a:cxn>
                          <a:cxn ang="90">
                            <a:pos x="10800" y="21600"/>
                          </a:cxn>
                          <a:cxn ang="180">
                            <a:pos x="372" y="10800"/>
                          </a:cxn>
                          <a:cxn ang="270">
                            <a:pos x="10800" y="0"/>
                          </a:cxn>
                        </a:cxnLst>
                        <a:rect l="txL" t="txT" r="txR" b="tx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745" y="21600"/>
                            </a:lnTo>
                            <a:lnTo>
                              <a:pt x="20855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8CBB35">
                          <a:alpha val="59999"/>
                        </a:srgbClr>
                      </a:solidFill>
                      <a:ln w="9525"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shape id="自选图形 3" o:spid="_x0000_s1026" o:spt="100" style="position:absolute;left:0pt;margin-left:42.75pt;margin-top:-43.4pt;height:36.9pt;width:499.85pt;z-index:251660288;mso-width-relative:page;mso-height-relative:page;" fillcolor="#8CBB35" filled="t" stroked="f" coordsize="21600,21600" o:gfxdata="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" path="m0,0l745,21600,20855,21600,21600,0xe">
              <v:path o:connectlocs="21227,10800;10800,21600;372,10800;10800,0" o:connectangles="0,0,0,0"/>
              <v:fill on="t" opacity="39320f" focussize="0,0"/>
              <v:stroke on="f"/>
              <v:imagedata o:title=""/>
              <o:lock v:ext="edit" aspectratio="f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3Y2E3MDJkMmQxZDBiZDZmNmI4ZWUzNDNiOTAxZWYifQ=="/>
  </w:docVars>
  <w:rsids>
    <w:rsidRoot w:val="00000000"/>
    <w:rsid w:val="06646071"/>
    <w:rsid w:val="141E72D3"/>
    <w:rsid w:val="2A886554"/>
    <w:rsid w:val="2D423581"/>
    <w:rsid w:val="354210F8"/>
    <w:rsid w:val="6A8B3F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1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1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2024-03-05T13:30:00Z</dcterms:created>
  <dc:creator>ASUS</dc:creator>
  <cp:lastModifiedBy>多巴胺</cp:lastModifiedBy>
  <dcterms:modified xsi:type="dcterms:W3CDTF">2024-07-09T05:11:37Z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20DC37BDB0D64A7F9202799E5F6C71B4_13</vt:lpwstr>
  </property>
</Properties>
</file>