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51AC0">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兔脂肪间充质干细胞</w:t>
      </w:r>
    </w:p>
    <w:p w14:paraId="3FB78CD0">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eastAsia="zh-CN"/>
        </w:rPr>
        <w:t>产品货号：</w:t>
      </w:r>
      <w:bookmarkStart w:id="0" w:name="_GoBack"/>
      <w:r>
        <w:rPr>
          <w:rFonts w:hint="default" w:ascii="Times New Roman" w:hAnsi="Times New Roman" w:cs="Times New Roman" w:eastAsiaTheme="minorEastAsia"/>
          <w:b/>
          <w:bCs/>
          <w:sz w:val="32"/>
          <w:szCs w:val="32"/>
          <w:lang w:eastAsia="zh-CN"/>
        </w:rPr>
        <w:t>AMSC1003</w:t>
      </w:r>
      <w:bookmarkEnd w:id="0"/>
    </w:p>
    <w:p w14:paraId="310732CB">
      <w:pPr>
        <w:tabs>
          <w:tab w:val="left" w:pos="2496"/>
        </w:tabs>
        <w:spacing w:line="360" w:lineRule="auto"/>
        <w:rPr>
          <w:rFonts w:hint="default" w:ascii="Times New Roman" w:hAnsi="Times New Roman" w:cs="Times New Roman" w:eastAsiaTheme="minorEastAsia"/>
          <w:sz w:val="21"/>
          <w:szCs w:val="21"/>
          <w:lang w:eastAsia="zh-CN"/>
        </w:rPr>
      </w:pPr>
    </w:p>
    <w:p w14:paraId="62ACD25F">
      <w:pPr>
        <w:tabs>
          <w:tab w:val="left" w:pos="2496"/>
        </w:tabs>
        <w:spacing w:line="360" w:lineRule="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b/>
          <w:bCs/>
          <w:sz w:val="21"/>
          <w:szCs w:val="21"/>
          <w:lang w:eastAsia="zh-CN"/>
        </w:rPr>
        <w:t>产品介绍</w:t>
      </w:r>
    </w:p>
    <w:p w14:paraId="7A021BC9">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脂肪间充质干细胞是一类存在于脂肪基质中的多能干细胞。因其具有强大的</w:t>
      </w:r>
      <w:r>
        <w:rPr>
          <w:rFonts w:hint="default" w:ascii="Times New Roman" w:hAnsi="Times New Roman" w:cs="Times New Roman" w:eastAsiaTheme="minorEastAsia"/>
          <w:sz w:val="21"/>
          <w:szCs w:val="21"/>
          <w:lang w:val="en-US" w:eastAsia="zh-CN"/>
        </w:rPr>
        <w:t>增殖</w:t>
      </w:r>
      <w:r>
        <w:rPr>
          <w:rFonts w:hint="default" w:ascii="Times New Roman" w:hAnsi="Times New Roman" w:cs="Times New Roman" w:eastAsiaTheme="minorEastAsia"/>
          <w:sz w:val="21"/>
          <w:szCs w:val="21"/>
          <w:lang w:eastAsia="zh-CN"/>
        </w:rPr>
        <w:t>能力和免疫调节功能，被广泛应用于组织工程、细胞治疗和基因治疗领域。兔脂肪间充质干细胞作为一个研究热点被广泛应用于再生医学和组织工程，特别是在骨、心血管和神经系统等疾病领域。SiDoTek™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eastAsia="zh-CN"/>
        </w:rPr>
        <w:t>兔脂肪间充质干细胞取自兔的腹股沟脂肪，这些细胞能够表达ADSCs的特定蛋白，拥有强大的增殖和多向分化能力。可作为细胞模型应用于增殖、衰老、免疫、分化和 移植研究。</w:t>
      </w:r>
    </w:p>
    <w:p w14:paraId="6D898CAF">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注意：本产品仅提供给进一步科研使用，不可用于临床治疗等其他用途。</w:t>
      </w:r>
    </w:p>
    <w:p w14:paraId="4A10B001">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461ECC94">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val="en-US" w:eastAsia="zh-CN"/>
        </w:rPr>
        <w:t>产品信息</w:t>
      </w:r>
    </w:p>
    <w:tbl>
      <w:tblPr>
        <w:tblStyle w:val="6"/>
        <w:tblW w:w="7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5649"/>
      </w:tblGrid>
      <w:tr w14:paraId="01E7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7F9895F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产品名称</w:t>
            </w:r>
          </w:p>
        </w:tc>
        <w:tc>
          <w:tcPr>
            <w:tcW w:w="5649" w:type="dxa"/>
            <w:vAlign w:val="top"/>
          </w:tcPr>
          <w:p w14:paraId="383A4A32">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kern w:val="2"/>
                <w:sz w:val="21"/>
                <w:szCs w:val="21"/>
                <w:lang w:val="en-US" w:eastAsia="zh-CN" w:bidi="ar-SA"/>
              </w:rPr>
              <w:t>兔脂肪间充质干细胞</w:t>
            </w:r>
          </w:p>
        </w:tc>
      </w:tr>
      <w:tr w14:paraId="1D9C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5EF157D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货号</w:t>
            </w:r>
          </w:p>
        </w:tc>
        <w:tc>
          <w:tcPr>
            <w:tcW w:w="5649" w:type="dxa"/>
            <w:vAlign w:val="top"/>
          </w:tcPr>
          <w:p w14:paraId="206FF14A">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kern w:val="2"/>
                <w:sz w:val="21"/>
                <w:szCs w:val="21"/>
                <w:lang w:val="en-US" w:eastAsia="zh-CN" w:bidi="ar-SA"/>
              </w:rPr>
              <w:t>AMSC</w:t>
            </w:r>
            <w:r>
              <w:rPr>
                <w:rFonts w:hint="default" w:ascii="Times New Roman" w:hAnsi="Times New Roman" w:cs="Times New Roman" w:eastAsiaTheme="minorEastAsia"/>
                <w:kern w:val="2"/>
                <w:sz w:val="21"/>
                <w:szCs w:val="21"/>
                <w:lang w:val="en-US" w:eastAsia="zh-CN" w:bidi="ar-SA"/>
              </w:rPr>
              <w:t>100</w:t>
            </w:r>
            <w:r>
              <w:rPr>
                <w:rFonts w:hint="eastAsia" w:ascii="Times New Roman" w:hAnsi="Times New Roman" w:cs="Times New Roman" w:eastAsiaTheme="minorEastAsia"/>
                <w:kern w:val="2"/>
                <w:sz w:val="21"/>
                <w:szCs w:val="21"/>
                <w:lang w:val="en-US" w:eastAsia="zh-CN" w:bidi="ar-SA"/>
              </w:rPr>
              <w:t>3</w:t>
            </w:r>
          </w:p>
        </w:tc>
      </w:tr>
      <w:tr w14:paraId="430B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27D202E3">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规格</w:t>
            </w:r>
          </w:p>
        </w:tc>
        <w:tc>
          <w:tcPr>
            <w:tcW w:w="5649" w:type="dxa"/>
            <w:vAlign w:val="top"/>
          </w:tcPr>
          <w:p w14:paraId="4D1DCC7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个/管 或 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个/瓶</w:t>
            </w:r>
          </w:p>
        </w:tc>
      </w:tr>
      <w:tr w14:paraId="73F7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0F60CE3F">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冻存代次</w:t>
            </w:r>
          </w:p>
        </w:tc>
        <w:tc>
          <w:tcPr>
            <w:tcW w:w="5649" w:type="dxa"/>
            <w:vAlign w:val="top"/>
          </w:tcPr>
          <w:p w14:paraId="142CD89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P2</w:t>
            </w:r>
          </w:p>
        </w:tc>
      </w:tr>
      <w:tr w14:paraId="6516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6BFEF66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保存条件</w:t>
            </w:r>
          </w:p>
        </w:tc>
        <w:tc>
          <w:tcPr>
            <w:tcW w:w="5649" w:type="dxa"/>
            <w:vAlign w:val="top"/>
          </w:tcPr>
          <w:p w14:paraId="1480684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液氮（-196℃)</w:t>
            </w:r>
          </w:p>
        </w:tc>
      </w:tr>
    </w:tbl>
    <w:p w14:paraId="43F3BE29">
      <w:pPr>
        <w:tabs>
          <w:tab w:val="left" w:pos="2496"/>
        </w:tabs>
        <w:spacing w:line="360" w:lineRule="auto"/>
        <w:rPr>
          <w:rFonts w:hint="default" w:ascii="Times New Roman" w:hAnsi="Times New Roman" w:cs="Times New Roman" w:eastAsiaTheme="minorEastAsia"/>
          <w:sz w:val="21"/>
          <w:szCs w:val="21"/>
          <w:lang w:val="en-US" w:eastAsia="zh-CN"/>
        </w:rPr>
      </w:pPr>
    </w:p>
    <w:p w14:paraId="2A2E0F16">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08C09F2F">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2D126196">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通过细胞复苏活力检测，复苏存活率&gt;80%。</w:t>
      </w:r>
    </w:p>
    <w:p w14:paraId="55F462E0">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通过细胞周期检测，倍增周期&lt;72 h。</w:t>
      </w:r>
    </w:p>
    <w:p w14:paraId="16F6C4B6">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通过流式检测，Integrin beta 1、CD44为阳性（ &gt;70%）；C-Kit、VCAM1、CD31、CD34为阴性（&lt;5%）。</w:t>
      </w:r>
    </w:p>
    <w:p w14:paraId="6BE7E283">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具有良好的分化能力，可经诱导分化为成骨细胞、脂肪细胞、软骨细胞等。</w:t>
      </w:r>
    </w:p>
    <w:p w14:paraId="7783E24A">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42C17EAE">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3F81462D">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严格的无菌环境。务必保证实验室整体、超净台和培养箱的清洁。</w:t>
      </w:r>
    </w:p>
    <w:p w14:paraId="66715721">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66742A18">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需要合适的、质量可靠的实验耗材和试剂。本产品需使用适合贴壁细胞生长的培养容器，且不建议重复使用。使用的试剂必须经验证可靠，适宜细胞生长且批间差异小。</w:t>
      </w:r>
    </w:p>
    <w:p w14:paraId="59963206">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脂肪间充质干细胞在体外增殖能力有限，且不能长期保持分化潜能。基于丰富的细胞培养经验和性能优异的培养体系，SiDoTek™ 兔脂肪间充质干细胞可在体外传代5次以上依然保持各项指标合格。但我们始终建议尽可能使用较低代次细胞进行科研工作。</w:t>
      </w:r>
    </w:p>
    <w:p w14:paraId="07BA8D52">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通常SiDoTek™ 兔脂肪间充质干细胞接种密度为（2.5~4）×10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。该细胞的生长与供体自身特性和后续培养体系的关系极大。我们建议根据各批次、各代次实际生长情况按比例传代培养。</w:t>
      </w:r>
    </w:p>
    <w:p w14:paraId="564173D9">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注意：本产品冻存液中含有DMSO，其具有潜在风险，请谨慎处理。</w:t>
      </w:r>
    </w:p>
    <w:p w14:paraId="538158B8">
      <w:pPr>
        <w:tabs>
          <w:tab w:val="left" w:pos="2496"/>
        </w:tabs>
        <w:spacing w:line="360" w:lineRule="auto"/>
        <w:rPr>
          <w:rFonts w:hint="default" w:ascii="Times New Roman" w:hAnsi="Times New Roman" w:cs="Times New Roman" w:eastAsiaTheme="minorEastAsia"/>
          <w:sz w:val="21"/>
          <w:szCs w:val="21"/>
          <w:lang w:val="en-US" w:eastAsia="zh-CN"/>
        </w:rPr>
      </w:pPr>
    </w:p>
    <w:p w14:paraId="0D4D08F8">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细胞的复苏和培养</w:t>
      </w:r>
    </w:p>
    <w:p w14:paraId="3EF3D9BE">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7B887CC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兔脂肪间充质干细胞</w:t>
      </w:r>
    </w:p>
    <w:p w14:paraId="795611B0">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兔脂肪间充质干细胞完全培养基（货号：SD-RBXMD-90011，以下简称完全培养基）</w:t>
      </w:r>
    </w:p>
    <w:p w14:paraId="6CCA62A2">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18D7D288">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 , 让管中液氮挥发。</w:t>
      </w:r>
    </w:p>
    <w:p w14:paraId="7862F266">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w:t>
      </w:r>
    </w:p>
    <w:p w14:paraId="0DC7BA03">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完全培养基温浴到37℃。</w:t>
      </w:r>
    </w:p>
    <w:p w14:paraId="77C18177">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0CE5249A">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66807AFC">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422DDB1C">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6C1C2893">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688E1A7B">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5884472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细胞悬液以250×g离心4 min。</w:t>
      </w:r>
    </w:p>
    <w:p w14:paraId="6627F500">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080CD97C">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2D9231E2">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将细胞接种到1个T25培养瓶或底面积相当的培养容器中。加入足量完全培养基，1个 T25培养瓶中培养基总量不少于5mL。</w:t>
      </w:r>
    </w:p>
    <w:p w14:paraId="127C75E3">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444CDFE9">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注意：接种2 h内不可移动、观察细胞。这会严重影响细胞贴壁，造成状态不佳、细胞聚团、贴壁不均匀等情况。</w:t>
      </w:r>
    </w:p>
    <w:p w14:paraId="2BC17FF0">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153E8638">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 xml:space="preserve">注意：若发现较多漂浮细胞或其他异常情况，应及时排查原因，并与我们联系。 </w:t>
      </w:r>
    </w:p>
    <w:p w14:paraId="03CAF092">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之后，每2天更换一次完全培养基，直到细胞生长至90%汇合，即需传代。</w:t>
      </w:r>
    </w:p>
    <w:p w14:paraId="1F6834E1">
      <w:pPr>
        <w:tabs>
          <w:tab w:val="left" w:pos="2496"/>
        </w:tabs>
        <w:spacing w:line="360" w:lineRule="auto"/>
        <w:rPr>
          <w:rFonts w:hint="default" w:ascii="Times New Roman" w:hAnsi="Times New Roman" w:cs="Times New Roman" w:eastAsiaTheme="minorEastAsia"/>
          <w:sz w:val="21"/>
          <w:szCs w:val="21"/>
          <w:lang w:val="en-US" w:eastAsia="zh-CN"/>
        </w:rPr>
      </w:pPr>
    </w:p>
    <w:p w14:paraId="38BDC002">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细胞的传代</w:t>
      </w:r>
    </w:p>
    <w:p w14:paraId="2F740147">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40FDBDF5">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0.25% Trypsin-0.04% EDTA（货号：SD-TEDTA-10001，以下简称胰酶）</w:t>
      </w:r>
    </w:p>
    <w:p w14:paraId="0340ED19">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Phosphate-Buffered Saline (1×PBS) （货号：SD-PBS-10001，以下简称PBS）</w:t>
      </w:r>
    </w:p>
    <w:p w14:paraId="67BD5487">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SiDoTek™ 兔脂肪间充质干细胞完全培养基（货号：SD-RBXMD-90011）</w:t>
      </w:r>
    </w:p>
    <w:p w14:paraId="5E0714B2">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0BEE026D">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将完全培养基、PBS、胰酶预热至37℃。</w:t>
      </w:r>
    </w:p>
    <w:p w14:paraId="2D13F464">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吸去培养容器中的培养基。</w:t>
      </w:r>
    </w:p>
    <w:p w14:paraId="32B8CC44">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用PBS（T25培养瓶加入约3 mL，T75培养瓶加入约6 mL）洗涤细胞2次，注意动作轻柔，清洗全面。吸去PBS。</w:t>
      </w:r>
    </w:p>
    <w:p w14:paraId="7A96A59E">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加入胰酶（T25培养瓶加入约1.5 mL，T75培养瓶加入约3 mL），迅速铺匀，保证充分接触细胞表面。</w:t>
      </w:r>
    </w:p>
    <w:p w14:paraId="4EA110BA">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显微镜下观察消化情况，约70%~80%细胞收缩变圆后，轻拍培养容器外壁，使细胞脱离培养表面。</w:t>
      </w:r>
    </w:p>
    <w:p w14:paraId="747A04D6">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立即加入完全培养基（T25培养瓶加入约3 mL，T75培养瓶加入约6 mL），随即轻摇培养容器，使培养基和胰酶迅速混匀，终止消化。</w:t>
      </w:r>
    </w:p>
    <w:p w14:paraId="5DEF74BF">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使用吸管或移液管吸取细胞悬液，吹打培养容器底面数次，尽可能将细胞都吹打下来。</w:t>
      </w:r>
    </w:p>
    <w:p w14:paraId="0844E1CF">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注意：吹打动作不可剧烈，避免产生大量气泡，否则可能损伤和损失细胞。</w:t>
      </w:r>
    </w:p>
    <w:p w14:paraId="015ABA31">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将细胞悬液转移至离心管中。用PBS（T25培养瓶加入约3 mL，T75培养瓶加入约6 mL） 洗涤容器1次，收集残留细胞。</w:t>
      </w:r>
    </w:p>
    <w:p w14:paraId="398E5792">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收集的所有细胞悬液以250×g离心4 min。</w:t>
      </w:r>
    </w:p>
    <w:p w14:paraId="1AD6E359">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7679CFE9">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将小鼠脂肪间充质干细胞按 (2.5~4) ×10⁴个活细胞/cm²的密度，接种至适宜的培养容器内。</w:t>
      </w:r>
    </w:p>
    <w:p w14:paraId="29F60E5C">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培养兔脂肪间充质干细胞对于细胞密度有较高的要求，我们建议有条件且计数效率较高的情况下，进行手工计数，以期获得精准的细胞浓度指导接种；在没有精确计数条件的情况下，按照适宜比例传代是更好的方法。通常SiDoTek™ 兔脂肪间充质干细胞的传代比例为1:3，72 h内生长至可传代汇合度。请根据细胞实际生长情况调整传代比例。</w:t>
      </w:r>
    </w:p>
    <w:p w14:paraId="48798E6E">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摇匀细胞，放入37℃、5%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4792A8CD">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传代次日，观察细胞状态。若发现较多漂浮细胞，应予以换液。</w:t>
      </w:r>
    </w:p>
    <w:p w14:paraId="649A5F74">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待细胞团生长至合适大小，即需传代或冻存。</w:t>
      </w:r>
    </w:p>
    <w:p w14:paraId="05ED6C01">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注意：正常情况下SiDoTek™ 兔脂肪间充质干细胞每代生长时间不超过72h，中途不需要换液。频繁换液会破坏构建起的细胞微环境。</w:t>
      </w:r>
    </w:p>
    <w:p w14:paraId="5BA49B82">
      <w:pPr>
        <w:tabs>
          <w:tab w:val="left" w:pos="2496"/>
        </w:tabs>
        <w:spacing w:line="360" w:lineRule="auto"/>
        <w:rPr>
          <w:rFonts w:hint="default" w:ascii="Times New Roman" w:hAnsi="Times New Roman" w:cs="Times New Roman" w:eastAsiaTheme="minorEastAsia"/>
          <w:b/>
          <w:bCs/>
          <w:sz w:val="21"/>
          <w:szCs w:val="21"/>
          <w:lang w:val="en-US" w:eastAsia="zh-CN"/>
        </w:rPr>
      </w:pPr>
    </w:p>
    <w:p w14:paraId="770AA0F2">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细胞的冻存</w:t>
      </w:r>
    </w:p>
    <w:p w14:paraId="747C9AE0">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20AAA0D6">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通用无蛋白非程序冻存液（货号：SD-NCPF-10001）</w:t>
      </w:r>
    </w:p>
    <w:p w14:paraId="33D9E03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通用血清型程序冻存液（货号：SD-CYRO-10001）</w:t>
      </w:r>
    </w:p>
    <w:p w14:paraId="291835E8">
      <w:pPr>
        <w:numPr>
          <w:ilvl w:val="0"/>
          <w:numId w:val="5"/>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操作步骤</w:t>
      </w:r>
    </w:p>
    <w:p w14:paraId="41CF1921">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若选用SiDoTek™ 通用血清型程序冻存液，请在操作前将程序降温盒放入4℃冰箱内预冷。</w:t>
      </w:r>
    </w:p>
    <w:p w14:paraId="62F6AF1F">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待细胞生长至可传代的密度，即可准备冻存。</w:t>
      </w:r>
    </w:p>
    <w:p w14:paraId="69B36986">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细胞消化请参考SiDoTek™ 兔脂肪间充质干细胞的传代操作步骤1~9。</w:t>
      </w:r>
    </w:p>
    <w:p w14:paraId="22EC3DD1">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离心后去除上清，用适量冻存液均匀重悬细胞，对细胞进行计数。</w:t>
      </w:r>
    </w:p>
    <w:p w14:paraId="13C4B0E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将细胞按比例或数量分装至冻存管中。</w:t>
      </w:r>
    </w:p>
    <w:p w14:paraId="36154EE2">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在没有成熟的计数条件下，我们建议将细胞按比例分装冻存即可，长时间在非培养条件下放置会严重影响细胞的状态。在计数时，我们建议将细胞放置于4℃冰箱内，以减弱细胞代谢，较好地保持细胞状态。</w:t>
      </w:r>
    </w:p>
    <w:p w14:paraId="16E40F1E">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若选用SiDoTek™ 通用血清型程序冻存液，将冻存管放入预冷的程序降温盒中，再将程序降温盒放入-80℃冰箱中。若选用SiDoTek™ 通用无蛋白非程序冻存液，请将冻存管直接分散放入-80℃冰箱中。</w:t>
      </w:r>
    </w:p>
    <w:p w14:paraId="0155924E">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注意：细胞冻存期间，特别是开始冻存的4 h内，不可打开冰箱门，这将严重影响细胞冷冻存活率。</w:t>
      </w:r>
    </w:p>
    <w:p w14:paraId="2A50BFC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8 h后即可将细胞转移入液氮长期保存。</w:t>
      </w:r>
    </w:p>
    <w:p w14:paraId="2BA0070B">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注意：细胞不可长期保存在-80℃冰箱中。我们建议在-80℃冰箱中的保存时间不要超过48 h。</w:t>
      </w:r>
    </w:p>
    <w:p w14:paraId="225AC1CB">
      <w:pPr>
        <w:tabs>
          <w:tab w:val="left" w:pos="2496"/>
        </w:tabs>
        <w:spacing w:line="360" w:lineRule="auto"/>
        <w:rPr>
          <w:rFonts w:hint="default" w:ascii="Times New Roman" w:hAnsi="Times New Roman" w:cs="Times New Roman" w:eastAsiaTheme="minorEastAsia"/>
          <w:b/>
          <w:bCs/>
          <w:sz w:val="21"/>
          <w:szCs w:val="21"/>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FB595">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1CDA5">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95A2B3"/>
    <w:multiLevelType w:val="singleLevel"/>
    <w:tmpl w:val="9995A2B3"/>
    <w:lvl w:ilvl="0" w:tentative="0">
      <w:start w:val="2"/>
      <w:numFmt w:val="chineseCounting"/>
      <w:suff w:val="nothing"/>
      <w:lvlText w:val="%1．"/>
      <w:lvlJc w:val="left"/>
      <w:rPr>
        <w:rFonts w:hint="eastAsia"/>
      </w:rPr>
    </w:lvl>
  </w:abstractNum>
  <w:abstractNum w:abstractNumId="1">
    <w:nsid w:val="44BB95D5"/>
    <w:multiLevelType w:val="singleLevel"/>
    <w:tmpl w:val="44BB95D5"/>
    <w:lvl w:ilvl="0" w:tentative="0">
      <w:start w:val="1"/>
      <w:numFmt w:val="decimal"/>
      <w:suff w:val="space"/>
      <w:lvlText w:val="%1."/>
      <w:lvlJc w:val="left"/>
    </w:lvl>
  </w:abstractNum>
  <w:abstractNum w:abstractNumId="2">
    <w:nsid w:val="54F88A71"/>
    <w:multiLevelType w:val="singleLevel"/>
    <w:tmpl w:val="54F88A71"/>
    <w:lvl w:ilvl="0" w:tentative="0">
      <w:start w:val="1"/>
      <w:numFmt w:val="decimal"/>
      <w:suff w:val="space"/>
      <w:lvlText w:val="%1."/>
      <w:lvlJc w:val="left"/>
    </w:lvl>
  </w:abstractNum>
  <w:abstractNum w:abstractNumId="3">
    <w:nsid w:val="5B7624C0"/>
    <w:multiLevelType w:val="singleLevel"/>
    <w:tmpl w:val="5B7624C0"/>
    <w:lvl w:ilvl="0" w:tentative="0">
      <w:start w:val="1"/>
      <w:numFmt w:val="decimal"/>
      <w:suff w:val="space"/>
      <w:lvlText w:val="%1."/>
      <w:lvlJc w:val="left"/>
    </w:lvl>
  </w:abstractNum>
  <w:abstractNum w:abstractNumId="4">
    <w:nsid w:val="6D3611DE"/>
    <w:multiLevelType w:val="singleLevel"/>
    <w:tmpl w:val="6D3611DE"/>
    <w:lvl w:ilvl="0" w:tentative="0">
      <w:start w:val="1"/>
      <w:numFmt w:val="decimal"/>
      <w:suff w:val="space"/>
      <w:lvlText w:val="%1."/>
      <w:lvlJc w:val="left"/>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141E72D3"/>
    <w:rsid w:val="23442287"/>
    <w:rsid w:val="281303D7"/>
    <w:rsid w:val="2A886554"/>
    <w:rsid w:val="2E277C09"/>
    <w:rsid w:val="36BB29CB"/>
    <w:rsid w:val="373874DB"/>
    <w:rsid w:val="505D4C08"/>
    <w:rsid w:val="55FC6473"/>
    <w:rsid w:val="5D8A7BAD"/>
    <w:rsid w:val="5E1B16CF"/>
    <w:rsid w:val="5EA67D62"/>
    <w:rsid w:val="5F331A3A"/>
    <w:rsid w:val="60195182"/>
    <w:rsid w:val="67265EE2"/>
    <w:rsid w:val="67952F01"/>
    <w:rsid w:val="6A8B3FD6"/>
    <w:rsid w:val="6D0B1E05"/>
    <w:rsid w:val="6EE204A3"/>
    <w:rsid w:val="70653C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2663</Words>
  <Characters>3171</Characters>
  <Lines>0</Lines>
  <Paragraphs>0</Paragraphs>
  <TotalTime>0</TotalTime>
  <ScaleCrop>false</ScaleCrop>
  <LinksUpToDate>false</LinksUpToDate>
  <CharactersWithSpaces>3250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2024-12-13T02:00:41Z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