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41374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</w:rPr>
        <w:t>SiDoTek™</w:t>
      </w: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 xml:space="preserve"> </w:t>
      </w:r>
      <w:bookmarkStart w:id="0" w:name="_GoBack"/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人脐静脉内皮细胞</w:t>
      </w:r>
      <w:bookmarkEnd w:id="0"/>
    </w:p>
    <w:p w14:paraId="67132C14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32"/>
          <w:szCs w:val="32"/>
          <w:lang w:eastAsia="zh-CN"/>
        </w:rPr>
        <w:t>产品货号：</w:t>
      </w:r>
      <w:r>
        <w:rPr>
          <w:rFonts w:hint="default"/>
        </w:rPr>
        <w:t>HUVECs</w:t>
      </w:r>
      <w:r>
        <w:rPr>
          <w:rFonts w:hint="eastAsia"/>
          <w:lang w:val="en-US" w:eastAsia="zh-CN"/>
        </w:rPr>
        <w:t>1</w:t>
      </w:r>
      <w:r>
        <w:rPr>
          <w:rFonts w:hint="default"/>
        </w:rPr>
        <w:t>001</w:t>
      </w:r>
    </w:p>
    <w:p w14:paraId="3523AFC1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00C467E8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产品介绍</w:t>
      </w:r>
    </w:p>
    <w:p w14:paraId="0767CB7B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血管内皮细胞是覆盖在血管内膜表面纵向排列的单层扁平细胞。其直接接触血液系统，是血液系统和组织间的屏障，具有多种生理功能。在维持血管张力、调节血压、抗血栓形成、新生血管形成等方面有重要作用。目前，人脐静脉内皮细胞被广泛应用于医学和药学研究，尤其在高血压、心脑血管疾病及肿瘤浸润、转移等的发病机制研究领域。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人脐静脉内皮细胞取自足月、自然分娩、健康的新生儿脐带组织，具有强大增殖能力及良好的性状表现。可作为细胞模型被应用于增殖、药理和病理研究。</w:t>
      </w:r>
    </w:p>
    <w:p w14:paraId="7C1D29B8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注意：本产品仅提供给进一步科研使用</w:t>
      </w: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eastAsia="zh-CN"/>
        </w:rPr>
        <w:t>，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  <w:t>不可用于临床治疗等其他用途。</w:t>
      </w:r>
    </w:p>
    <w:p w14:paraId="1B206451">
      <w:pPr>
        <w:tabs>
          <w:tab w:val="left" w:pos="2496"/>
        </w:tabs>
        <w:spacing w:line="360" w:lineRule="auto"/>
        <w:ind w:firstLine="420" w:firstLineChars="200"/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</w:pPr>
    </w:p>
    <w:p w14:paraId="6D3A0EF4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产品信息</w:t>
      </w:r>
    </w:p>
    <w:tbl>
      <w:tblPr>
        <w:tblStyle w:val="6"/>
        <w:tblW w:w="73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5649"/>
      </w:tblGrid>
      <w:tr w14:paraId="13B78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7" w:type="dxa"/>
            <w:vAlign w:val="top"/>
          </w:tcPr>
          <w:p w14:paraId="748E6EC5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产品名称</w:t>
            </w:r>
          </w:p>
        </w:tc>
        <w:tc>
          <w:tcPr>
            <w:tcW w:w="5649" w:type="dxa"/>
            <w:vAlign w:val="top"/>
          </w:tcPr>
          <w:p w14:paraId="3BC4292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sz w:val="21"/>
                <w:szCs w:val="21"/>
                <w:lang w:eastAsia="zh-CN"/>
              </w:rPr>
              <w:t>SiDoTek™</w:t>
            </w:r>
            <w:r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人脐静脉内皮细胞</w:t>
            </w:r>
          </w:p>
        </w:tc>
      </w:tr>
      <w:tr w14:paraId="716D7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7" w:type="dxa"/>
            <w:vAlign w:val="top"/>
          </w:tcPr>
          <w:p w14:paraId="32860C3A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货号</w:t>
            </w:r>
          </w:p>
        </w:tc>
        <w:tc>
          <w:tcPr>
            <w:tcW w:w="5649" w:type="dxa"/>
            <w:vAlign w:val="top"/>
          </w:tcPr>
          <w:p w14:paraId="26C67C3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</w:rPr>
              <w:t>HUVECs</w:t>
            </w:r>
            <w:r>
              <w:rPr>
                <w:rFonts w:hint="eastAsia"/>
                <w:lang w:val="en-US" w:eastAsia="zh-CN"/>
              </w:rPr>
              <w:t>1</w:t>
            </w:r>
            <w:r>
              <w:rPr>
                <w:rFonts w:hint="default"/>
              </w:rPr>
              <w:t>001</w:t>
            </w:r>
          </w:p>
        </w:tc>
      </w:tr>
      <w:tr w14:paraId="278F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7" w:type="dxa"/>
            <w:vAlign w:val="top"/>
          </w:tcPr>
          <w:p w14:paraId="5F8DCD7F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规格</w:t>
            </w:r>
          </w:p>
        </w:tc>
        <w:tc>
          <w:tcPr>
            <w:tcW w:w="5649" w:type="dxa"/>
            <w:vAlign w:val="top"/>
          </w:tcPr>
          <w:p w14:paraId="28822AB3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1×10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superscript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个/管 或 1×10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vertAlign w:val="superscript"/>
                <w:lang w:val="en-US" w:eastAsia="zh-CN" w:bidi="ar-SA"/>
              </w:rPr>
              <w:t>6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个/瓶</w:t>
            </w:r>
          </w:p>
        </w:tc>
      </w:tr>
      <w:tr w14:paraId="7947A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7" w:type="dxa"/>
            <w:vAlign w:val="top"/>
          </w:tcPr>
          <w:p w14:paraId="53C64D8E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冻存代次</w:t>
            </w:r>
          </w:p>
        </w:tc>
        <w:tc>
          <w:tcPr>
            <w:tcW w:w="5649" w:type="dxa"/>
            <w:vAlign w:val="top"/>
          </w:tcPr>
          <w:p w14:paraId="35DA1C3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P2</w:t>
            </w:r>
          </w:p>
        </w:tc>
      </w:tr>
      <w:tr w14:paraId="5C21E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77" w:type="dxa"/>
            <w:vAlign w:val="top"/>
          </w:tcPr>
          <w:p w14:paraId="263E0EED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保存条件</w:t>
            </w:r>
          </w:p>
        </w:tc>
        <w:tc>
          <w:tcPr>
            <w:tcW w:w="5649" w:type="dxa"/>
            <w:vAlign w:val="top"/>
          </w:tcPr>
          <w:p w14:paraId="35F0EBD4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液氮（-196℃)</w:t>
            </w:r>
          </w:p>
        </w:tc>
      </w:tr>
    </w:tbl>
    <w:p w14:paraId="3F76FE4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0331124A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质量控制</w:t>
      </w:r>
    </w:p>
    <w:p w14:paraId="1E082403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通过细菌、真菌、支原体、内毒素检测。</w:t>
      </w:r>
    </w:p>
    <w:p w14:paraId="08CA8BFE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通过细胞复苏活力检测，复苏存活率&gt;80%。</w:t>
      </w:r>
    </w:p>
    <w:p w14:paraId="04C855F0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通过细胞周期检测，倍增周期&lt;72 h。</w:t>
      </w:r>
    </w:p>
    <w:p w14:paraId="3B323F88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通过流式检测，CD31、CD105（&gt;70%），CD34、CD45阴性（&lt;5%）。</w:t>
      </w:r>
    </w:p>
    <w:p w14:paraId="5CEBC942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免疫荧光法检测破壁细胞vWF阳性（&gt;70%）。</w:t>
      </w:r>
    </w:p>
    <w:p w14:paraId="5EBDB4C7">
      <w:pPr>
        <w:numPr>
          <w:ilvl w:val="0"/>
          <w:numId w:val="1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可经诱导形成血管结构。</w:t>
      </w:r>
    </w:p>
    <w:p w14:paraId="5CCD215B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4C3BED58">
      <w:pPr>
        <w:numPr>
          <w:ilvl w:val="0"/>
          <w:numId w:val="0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处理原则</w:t>
      </w:r>
    </w:p>
    <w:p w14:paraId="2B166F6E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严格的无菌环境。务必保证实验室整体、超净台和培养箱的清洁。</w:t>
      </w:r>
    </w:p>
    <w:p w14:paraId="4013A034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规范的操作方式。请按照产品说明书描述的方式操作，严格控制变量，做好对照实验。</w:t>
      </w:r>
    </w:p>
    <w:p w14:paraId="6461F20F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需要合适的、质量可靠的实验耗材和试剂。本产品需使用适合贴壁细胞生长的培养容器，且不建议重复使用。使用的试剂必须经验证可靠，适宜细胞生长且批间差异小。</w:t>
      </w:r>
    </w:p>
    <w:p w14:paraId="6CD43A78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人脐静脉内皮细胞在体外增殖能力有限，且不能长期保持分化潜能。基于丰富的细胞培养经验和性能优异的培养体系，</w:t>
      </w:r>
      <w:r>
        <w:rPr>
          <w:rFonts w:hint="default" w:ascii="Times New Roman" w:hAnsi="Times New Roman" w:cs="Times New Roman" w:eastAsiaTheme="minorEastAsia"/>
          <w:sz w:val="21"/>
          <w:szCs w:val="21"/>
          <w:lang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人脐静脉内皮细胞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可在体外传代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次以上依然保持各项指标合格。但我们始终建议尽可能使用较低代次细胞进行科研工作。</w:t>
      </w:r>
    </w:p>
    <w:p w14:paraId="19687653">
      <w:pPr>
        <w:numPr>
          <w:ilvl w:val="0"/>
          <w:numId w:val="2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通常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人脐静脉内皮细胞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接种密度为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2.5~4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）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×10</w:t>
      </w:r>
      <w:r>
        <w:rPr>
          <w:rFonts w:hint="default" w:ascii="Times New Roman" w:hAnsi="Times New Roman" w:cs="Times New Roman" w:eastAsiaTheme="minorEastAsia"/>
          <w:sz w:val="21"/>
          <w:szCs w:val="21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个活细胞/cm</w:t>
      </w:r>
      <w:r>
        <w:rPr>
          <w:rFonts w:hint="default" w:ascii="Times New Roman" w:hAnsi="Times New Roman" w:cs="Times New Roman" w:eastAsiaTheme="minorEastAsia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。该细胞的生长与供体自身特性和后续培养体系的关系极大。我们建议根据各批次、各代次实际生长情况按比例传代培养。</w:t>
      </w:r>
    </w:p>
    <w:p w14:paraId="7C7ACCBA">
      <w:pPr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注意：本产品冻存液中含有DMSO，其具有潜在风险，请谨慎处理。</w:t>
      </w:r>
    </w:p>
    <w:p w14:paraId="1C312531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28CB9A2F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细胞的复苏和培养</w:t>
      </w:r>
    </w:p>
    <w:p w14:paraId="4012E618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一．所需材料</w:t>
      </w:r>
    </w:p>
    <w:p w14:paraId="0B90B897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人脐静脉内皮细胞</w:t>
      </w:r>
    </w:p>
    <w:p w14:paraId="2279D754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人脐静脉内皮细胞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完全培养基（货号：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SD-HUVEC-90011，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以下简称完全培养基）</w:t>
      </w:r>
    </w:p>
    <w:p w14:paraId="188D2F53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二．操作步骤</w:t>
      </w:r>
    </w:p>
    <w:p w14:paraId="70C4BCF3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注意：收到的细胞如24 h内复苏，可存放于-80℃冰箱；超过24 h请存放于液氮中，复苏前10 min取出，放于-80℃ , 让管中液氮挥发。</w:t>
      </w:r>
    </w:p>
    <w:p w14:paraId="4FB4AE2C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水浴锅37℃预热。</w:t>
      </w:r>
    </w:p>
    <w:p w14:paraId="337AB289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完全培养基温浴到37℃。</w:t>
      </w:r>
    </w:p>
    <w:p w14:paraId="643BBD36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在15 mL离心管中加入5 mL以上完全培养基备用。</w:t>
      </w:r>
    </w:p>
    <w:p w14:paraId="03587EC1">
      <w:pPr>
        <w:numPr>
          <w:ilvl w:val="0"/>
          <w:numId w:val="3"/>
        </w:num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从-80℃冰箱中取出细胞，放入37℃水浴锅中，快速晃动，使冻存液迅速融化。</w:t>
      </w:r>
    </w:p>
    <w:p w14:paraId="3200C3C1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注意: 融化过程必须晃动冻存管，保证冻存液融化迅速、均匀；晃动时应避免水没过管盖造成污染；管内冻存液融化至只剩一个约2 mm直径的冰晶时，即停止水浴。继续晃动冻存管，至冰晶融化。</w:t>
      </w:r>
    </w:p>
    <w:p w14:paraId="43A081A3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用75%医用酒精擦拭冻存管外表面。</w:t>
      </w:r>
    </w:p>
    <w:p w14:paraId="67D59B1D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在超净台中打开冻存管，用巴氏吸管或移液枪吸取细胞冻存悬液，转移至先前准备的离心管中。</w:t>
      </w:r>
    </w:p>
    <w:p w14:paraId="6876B281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用1 mL完全培养基洗涤冻存管1次，收集残留细胞，减少损失。</w:t>
      </w:r>
    </w:p>
    <w:p w14:paraId="2DD15509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细胞悬液以250×g离心4 min。</w:t>
      </w:r>
    </w:p>
    <w:p w14:paraId="4F345F84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jc w:val="both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注意：请以公式a=ω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 xml:space="preserve"> r（a:向心加速度；ω:旋转角速度，ω=πn/30；r:转子半径）计算相应转速。</w:t>
      </w:r>
    </w:p>
    <w:p w14:paraId="2E5F0014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离心后去除上清。加入2 mL完全培养基，轻柔吹打细胞沉淀，充分吹散、混匀。</w:t>
      </w:r>
    </w:p>
    <w:p w14:paraId="3C6288EC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将细胞平均接种到1个T25培养瓶或底面积相当的培养容器中。 加入足量完全培养基， 1个T25培养瓶中培养基总量不少于5 mL。</w:t>
      </w:r>
    </w:p>
    <w:p w14:paraId="100C50A9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摇匀细胞，放入37℃、5%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CO</w:t>
      </w:r>
      <w:r>
        <w:rPr>
          <w:rFonts w:hint="default" w:ascii="Times New Roman" w:hAnsi="Times New Roman" w:cs="Times New Roman" w:eastAsiaTheme="minorEastAsia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饱和湿度的CO</w:t>
      </w:r>
      <w:r>
        <w:rPr>
          <w:rFonts w:hint="default" w:ascii="Times New Roman" w:hAnsi="Times New Roman" w:cs="Times New Roman" w:eastAsiaTheme="minorEastAsia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培养箱中。</w:t>
      </w:r>
    </w:p>
    <w:p w14:paraId="20F7E0A8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leftChars="0" w:firstLine="422" w:firstLineChars="200"/>
        <w:jc w:val="both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注意：接种2 h内不可移动、观察细胞。这会严重影响细胞贴壁，造成状态不佳、细胞聚团、贴壁不均匀等情况。</w:t>
      </w:r>
    </w:p>
    <w:p w14:paraId="011FCE6D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复苏次日，观察细胞状态，并更换新鲜的完全培养基或传代。</w:t>
      </w:r>
    </w:p>
    <w:p w14:paraId="772AF494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leftChars="0" w:firstLine="422" w:firstLineChars="20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注意：若发现较多漂浮细胞或其他异常情况，应及时排查原因，并与我们联系。</w:t>
      </w:r>
    </w:p>
    <w:p w14:paraId="4C30870E">
      <w:pPr>
        <w:widowControl w:val="0"/>
        <w:numPr>
          <w:ilvl w:val="0"/>
          <w:numId w:val="3"/>
        </w:numPr>
        <w:tabs>
          <w:tab w:val="left" w:pos="2496"/>
        </w:tabs>
        <w:spacing w:line="360" w:lineRule="auto"/>
        <w:ind w:left="0" w:leftChars="0" w:firstLine="0" w:firstLine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之后每2天更换一次完全培养基，直到细胞生长至90%汇合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即需传代。</w:t>
      </w:r>
    </w:p>
    <w:p w14:paraId="648DE679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leftChars="0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</w:p>
    <w:p w14:paraId="5ECD1C9B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细胞的传代</w:t>
      </w:r>
    </w:p>
    <w:p w14:paraId="544E950E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一．所需材料</w:t>
      </w:r>
    </w:p>
    <w:p w14:paraId="295AF6EF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0.25%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Trypsin-0.04%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EDTA（货号：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SD-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TEDTA-10001，以下简称胰酶）</w:t>
      </w:r>
    </w:p>
    <w:p w14:paraId="1918964F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Phosphate-Buffered Saline (1×PBS) （货号：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SD-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PBS-10001，以下简称PBS）</w:t>
      </w:r>
    </w:p>
    <w:p w14:paraId="0C34BC7D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3.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人脐静脉内皮细胞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完全培养基（货号：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SD-HUVEC-90011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）</w:t>
      </w:r>
    </w:p>
    <w:p w14:paraId="0D7B3747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二．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操作步骤</w:t>
      </w:r>
    </w:p>
    <w:p w14:paraId="2F3578AD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将完全培养基、PBS、胰酶预热至37℃。</w:t>
      </w:r>
    </w:p>
    <w:p w14:paraId="511D75A2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吸去培养容器中的培养基。</w:t>
      </w:r>
    </w:p>
    <w:p w14:paraId="14CFA0DE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3.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用PBS（T25培养瓶加入约3 mL，T75培养瓶加入约6 mL）洗涤细胞2次，注意动作轻柔，清洗全面。吸去PBS。</w:t>
      </w:r>
    </w:p>
    <w:p w14:paraId="624C117A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4.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加入胰酶（T25培养瓶加入约1.5 mL，T75培养瓶加入约3 mL），迅速铺匀，保证充分接触细胞表面。</w:t>
      </w:r>
    </w:p>
    <w:p w14:paraId="27E83574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5.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显微镜下观察消化情况，约70%~80%细胞收缩变圆后，轻拍培养容器外壁，使细胞脱离培养表面。</w:t>
      </w:r>
    </w:p>
    <w:p w14:paraId="7BE44B71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6.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立即加入完全培养基（T25培养瓶加入约3 mL，T75培养瓶加入约6 mL），随即轻摇培养容器，使培养基和胰酶迅速混匀，终止消化。</w:t>
      </w:r>
    </w:p>
    <w:p w14:paraId="572DBB98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7.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使用吸管或移液管吸取细胞悬液，吹打培养容器底面数次，尽可能将细胞都吹打下来。</w:t>
      </w:r>
    </w:p>
    <w:p w14:paraId="015A467D">
      <w:pPr>
        <w:widowControl w:val="0"/>
        <w:numPr>
          <w:ilvl w:val="0"/>
          <w:numId w:val="0"/>
        </w:numPr>
        <w:tabs>
          <w:tab w:val="left" w:pos="2496"/>
        </w:tabs>
        <w:spacing w:line="360" w:lineRule="auto"/>
        <w:ind w:firstLine="422" w:firstLineChars="200"/>
        <w:jc w:val="both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注意：吹打动作不可剧烈，避免产生大量气泡，否则可能损伤和损失细胞。</w:t>
      </w:r>
    </w:p>
    <w:p w14:paraId="08671A2A">
      <w:pPr>
        <w:widowControl w:val="0"/>
        <w:numPr>
          <w:ilvl w:val="0"/>
          <w:numId w:val="4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将细胞悬液转移至离心管中。用PBS（T25培养瓶加入约3 mL，T75培养瓶加入约6 mL） 洗涤容器1次，收集残留细胞。</w:t>
      </w:r>
    </w:p>
    <w:p w14:paraId="3D94DF84">
      <w:pPr>
        <w:widowControl w:val="0"/>
        <w:numPr>
          <w:ilvl w:val="0"/>
          <w:numId w:val="4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收集的所有细胞悬液以250×g离心4 min。</w:t>
      </w:r>
    </w:p>
    <w:p w14:paraId="3517A776">
      <w:pPr>
        <w:widowControl w:val="0"/>
        <w:numPr>
          <w:ilvl w:val="0"/>
          <w:numId w:val="4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离心后去除上清。加入2 mL完全培养基，轻柔吹打细胞沉淀，充分吹散、混匀。</w:t>
      </w:r>
    </w:p>
    <w:p w14:paraId="23480DC3">
      <w:pPr>
        <w:widowControl w:val="0"/>
        <w:numPr>
          <w:ilvl w:val="0"/>
          <w:numId w:val="4"/>
        </w:numPr>
        <w:tabs>
          <w:tab w:val="left" w:pos="2496"/>
        </w:tabs>
        <w:spacing w:line="360" w:lineRule="auto"/>
        <w:jc w:val="both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将细胞按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2.5~4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）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×10</w:t>
      </w:r>
      <w:r>
        <w:rPr>
          <w:rFonts w:hint="default" w:ascii="Times New Roman" w:hAnsi="Times New Roman" w:cs="Times New Roman" w:eastAsiaTheme="minorEastAsia"/>
          <w:sz w:val="21"/>
          <w:szCs w:val="21"/>
          <w:vertAlign w:val="superscript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个活细胞/cm</w:t>
      </w:r>
      <w:r>
        <w:rPr>
          <w:rFonts w:hint="default" w:ascii="Times New Roman" w:hAnsi="Times New Roman" w:cs="Times New Roman" w:eastAsiaTheme="minorEastAsia"/>
          <w:sz w:val="21"/>
          <w:szCs w:val="21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接种至适宜的培养容器内。</w:t>
      </w:r>
    </w:p>
    <w:p w14:paraId="66BF7D53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注意：培养</w:t>
      </w: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人脐静脉内皮细胞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对于细胞密度有较高的要求，我们建议有条件且计数效率较高的情况下，进行手工计数，以期获得精准的细胞浓度指导接种；在没有精确计数条件的情况下，按照适宜比例传代是更好的方法。通常SiDoTek™</w:t>
      </w: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 xml:space="preserve"> 人脐静脉内皮细胞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传代比例为1:3，72 h内生长至可传代汇合度。请根据细胞实际生长情况调整传代比例。</w:t>
      </w:r>
    </w:p>
    <w:p w14:paraId="18774160">
      <w:pPr>
        <w:numPr>
          <w:ilvl w:val="0"/>
          <w:numId w:val="4"/>
        </w:numPr>
        <w:tabs>
          <w:tab w:val="left" w:pos="2496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摇匀细胞，放入37℃、5%</w:t>
      </w:r>
      <w:r>
        <w:rPr>
          <w:rFonts w:hint="eastAsia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饱和湿度的CO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培养箱中。</w:t>
      </w:r>
    </w:p>
    <w:p w14:paraId="065D7AB1">
      <w:pPr>
        <w:numPr>
          <w:ilvl w:val="0"/>
          <w:numId w:val="4"/>
        </w:numPr>
        <w:tabs>
          <w:tab w:val="left" w:pos="2496"/>
        </w:tabs>
        <w:spacing w:line="360" w:lineRule="auto"/>
        <w:ind w:left="0" w:leftChars="0" w:firstLine="0" w:firstLineChars="0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传代次日，观察细胞状态。若发现较多漂浮细胞，应予以换液。</w:t>
      </w:r>
    </w:p>
    <w:p w14:paraId="3BBD3312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  <w:t>14. 待细胞生长至90%汇合，即需传代或冻存。</w:t>
      </w:r>
    </w:p>
    <w:p w14:paraId="5B69C2FD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注意：正常情况下SiDoTek™</w:t>
      </w: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 xml:space="preserve"> 人脐静脉内皮细胞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每代生长时间不超过72 h，中途不需要换液。频繁换液会破坏构建起的细胞微环境。</w:t>
      </w:r>
    </w:p>
    <w:p w14:paraId="40B62A61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p w14:paraId="5D40145B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细胞的冻存</w:t>
      </w:r>
    </w:p>
    <w:p w14:paraId="6E4DBA19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一．所需材料</w:t>
      </w:r>
    </w:p>
    <w:p w14:paraId="08CF22D6">
      <w:pPr>
        <w:tabs>
          <w:tab w:val="left" w:pos="2496"/>
        </w:tabs>
        <w:spacing w:line="360" w:lineRule="auto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通用无蛋白非程序冻存液（货号：SD-NCPF-10001）</w:t>
      </w:r>
    </w:p>
    <w:p w14:paraId="13A41B6B">
      <w:pPr>
        <w:tabs>
          <w:tab w:val="left" w:pos="2496"/>
        </w:tabs>
        <w:spacing w:line="360" w:lineRule="auto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通用血清型程序冻存液（货号：SD-CYRO-10001）</w:t>
      </w:r>
    </w:p>
    <w:p w14:paraId="4E82326F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二．</w:t>
      </w: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操作步骤</w:t>
      </w:r>
    </w:p>
    <w:p w14:paraId="51AB7EC9">
      <w:pPr>
        <w:tabs>
          <w:tab w:val="left" w:pos="2496"/>
        </w:tabs>
        <w:spacing w:line="360" w:lineRule="auto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1.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若选用SiDoTek™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通用血清型程序冻存液，请在操作前将程序降温盒放入4℃冰箱内预冷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>。</w:t>
      </w:r>
    </w:p>
    <w:p w14:paraId="6734A537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2.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待细胞生长至可传代的密度，即可准备冻存。</w:t>
      </w:r>
    </w:p>
    <w:p w14:paraId="54CFDC20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3.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细胞消化请参考SiDoTek™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人脐静脉内皮细胞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的传代操作步骤1~9。</w:t>
      </w:r>
    </w:p>
    <w:p w14:paraId="79C0E3E0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4.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离心后去除上清，用适量冻存液均匀重悬细胞。</w:t>
      </w:r>
    </w:p>
    <w:p w14:paraId="169C8C1A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5. 将细胞按比例或数量分装至冻存管中。</w:t>
      </w:r>
    </w:p>
    <w:p w14:paraId="1ABC2E79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在没有成熟的计数条件下，我们建议将细胞按比例分装冻存即可，长时间在非培养条件下放置会严重影响细胞的状态。在计数时，我们建议将细胞放置于4℃冰箱内，以减弱细胞代谢，较好地保持细胞状态。</w:t>
      </w:r>
    </w:p>
    <w:p w14:paraId="513E259C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6. 若选用SiDoTek™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通用血清型程序冻存液，将冻存管放入预冷的程序降温盒中，再将程序降温盒放入-80℃冰箱中。若选用SiDoTek™</w:t>
      </w:r>
      <w:r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通用无蛋白非程序冻存液，请将冻存管直接分散放入-80℃冰箱中。</w:t>
      </w:r>
    </w:p>
    <w:p w14:paraId="2C41CF08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注意：细胞冻存期间，特别是开始冻存的4 h内，不可打开冰箱门，这将严重影响细胞冷冻存活率。</w:t>
      </w:r>
    </w:p>
    <w:p w14:paraId="639C6E57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  <w:t>7. 8 h后即可将细胞转移入液氮长期保存。</w:t>
      </w:r>
    </w:p>
    <w:p w14:paraId="70EDA858">
      <w:pPr>
        <w:tabs>
          <w:tab w:val="left" w:pos="2496"/>
        </w:tabs>
        <w:spacing w:line="360" w:lineRule="auto"/>
        <w:ind w:firstLine="422" w:firstLineChars="20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  <w:t>注意：细胞不可长期保存在-80℃冰箱中。我们建议在-80℃冰箱中的保存时间不要超过48 h。</w:t>
      </w:r>
    </w:p>
    <w:p w14:paraId="33840D9E">
      <w:pPr>
        <w:tabs>
          <w:tab w:val="left" w:pos="2496"/>
        </w:tabs>
        <w:spacing w:line="360" w:lineRule="auto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C7281">
    <w:pPr>
      <w:pStyle w:val="3"/>
      <w:rPr>
        <w:rFonts w:hint="eastAsia" w:eastAsia="宋体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904240</wp:posOffset>
              </wp:positionH>
              <wp:positionV relativeFrom="paragraph">
                <wp:posOffset>74295</wp:posOffset>
              </wp:positionV>
              <wp:extent cx="6103620" cy="692785"/>
              <wp:effectExtent l="0" t="0" r="11430" b="12065"/>
              <wp:wrapNone/>
              <wp:docPr id="5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103620" cy="692785"/>
                      </a:xfrm>
                      <a:custGeom>
                        <a:avLst/>
                        <a:gdLst>
                          <a:gd name="txL" fmla="*/ 2437 w 21600"/>
                          <a:gd name="txT" fmla="*/ 2437 h 21600"/>
                          <a:gd name="txR" fmla="*/ 19162 w 21600"/>
                          <a:gd name="txB" fmla="*/ 19162 h 21600"/>
                        </a:gdLst>
                        <a:ahLst/>
                        <a:cxnLst>
                          <a:cxn ang="0">
                            <a:pos x="20962" y="10800"/>
                          </a:cxn>
                          <a:cxn ang="90">
                            <a:pos x="10800" y="21600"/>
                          </a:cxn>
                          <a:cxn ang="180">
                            <a:pos x="637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275" y="21600"/>
                            </a:lnTo>
                            <a:lnTo>
                              <a:pt x="2032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8" o:spid="_x0000_s1026" o:spt="100" style="position:absolute;left:0pt;margin-left:71.2pt;margin-top:5.85pt;height:54.55pt;width:480.6pt;rotation:11796480f;z-index:251663360;mso-width-relative:page;mso-height-relative:page;" fillcolor="#8CBB35" filled="t" stroked="f" coordsize="21600,21600" o:gfxdata="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" path="m0,0l1275,21600,20325,21600,21600,0xe">
              <v:path o:connectlocs="20962,10800;10800,21600;637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-1059180</wp:posOffset>
          </wp:positionH>
          <wp:positionV relativeFrom="paragraph">
            <wp:posOffset>210820</wp:posOffset>
          </wp:positionV>
          <wp:extent cx="1811020" cy="721995"/>
          <wp:effectExtent l="0" t="0" r="17780" b="0"/>
          <wp:wrapNone/>
          <wp:docPr id="6" name="图片 11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1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10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-1138555</wp:posOffset>
              </wp:positionH>
              <wp:positionV relativeFrom="paragraph">
                <wp:posOffset>365125</wp:posOffset>
              </wp:positionV>
              <wp:extent cx="7585710" cy="414020"/>
              <wp:effectExtent l="0" t="0" r="15240" b="5080"/>
              <wp:wrapNone/>
              <wp:docPr id="1" name="矩形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759460" y="5626735"/>
                        <a:ext cx="7585710" cy="414020"/>
                      </a:xfrm>
                      <a:prstGeom prst="rect">
                        <a:avLst/>
                      </a:prstGeom>
                      <a:solidFill>
                        <a:srgbClr val="45B2B4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rect id="矩形 9" o:spid="_x0000_s1026" o:spt="1" style="position:absolute;left:0pt;margin-left:-89.65pt;margin-top:28.75pt;height:32.6pt;width:597.3pt;z-index:251659264;mso-width-relative:page;mso-height-relative:page;" fillcolor="#45B2B4" filled="t" stroked="f" coordsize="21600,21600" o:gfxdata="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Un1ZXbAAAADAEAAA8AAAAAAAAAAQAgAAAAIgAAAGRycy9kb3ducmV2LnhtbFBLAQIUABQAAAAI&#10;AIdO4kA6Zy5T6gEAALkDAAAOAAAAAAAAAAEAIAAAACoBAABkcnMvZTJvRG9jLnhtbFBLBQYAAAAA&#10;BgAGAFkBAACGBQAAAAA=&#10;">
              <v:fill on="t" opacity="39320f" focussize="0,0"/>
              <v:stroke on="f"/>
              <v:imagedata o:title=""/>
              <o:lock v:ext="edit" aspectratio="f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99E22">
    <w:pPr>
      <w:pStyle w:val="4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-1087755</wp:posOffset>
          </wp:positionH>
          <wp:positionV relativeFrom="paragraph">
            <wp:posOffset>-607060</wp:posOffset>
          </wp:positionV>
          <wp:extent cx="1633855" cy="651510"/>
          <wp:effectExtent l="0" t="0" r="0" b="0"/>
          <wp:wrapNone/>
          <wp:docPr id="4" name="图片 5" descr="西岛生物 SiDoTek 横板_画板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西岛生物 SiDoTek 横板_画板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38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925195</wp:posOffset>
              </wp:positionH>
              <wp:positionV relativeFrom="paragraph">
                <wp:posOffset>-548640</wp:posOffset>
              </wp:positionV>
              <wp:extent cx="6003290" cy="678815"/>
              <wp:effectExtent l="0" t="0" r="16510" b="6985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03290" cy="678815"/>
                      </a:xfrm>
                      <a:custGeom>
                        <a:avLst/>
                        <a:gdLst>
                          <a:gd name="txL" fmla="*/ 2369 w 21600"/>
                          <a:gd name="txT" fmla="*/ 2369 h 21600"/>
                          <a:gd name="txR" fmla="*/ 19230 w 21600"/>
                          <a:gd name="txB" fmla="*/ 19230 h 21600"/>
                        </a:gdLst>
                        <a:ahLst/>
                        <a:cxnLst>
                          <a:cxn ang="0">
                            <a:pos x="21030" y="10800"/>
                          </a:cxn>
                          <a:cxn ang="90">
                            <a:pos x="10800" y="21600"/>
                          </a:cxn>
                          <a:cxn ang="180">
                            <a:pos x="569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1139" y="21600"/>
                            </a:lnTo>
                            <a:lnTo>
                              <a:pt x="20461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45B2B4">
                          <a:alpha val="59999"/>
                        </a:srgbClr>
                      </a:solidFill>
                      <a:ln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4" o:spid="_x0000_s1026" o:spt="100" style="position:absolute;left:0pt;margin-left:72.85pt;margin-top:-43.2pt;height:53.45pt;width:472.7pt;z-index:251661312;mso-width-relative:page;mso-height-relative:page;" fillcolor="#45B2B4" filled="t" stroked="f" coordsize="21600,21600" o:gfxdata="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" path="m0,0l1139,21600,20461,21600,21600,0xe">
              <v:path o:connectlocs="21030,10800;10800,21600;569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542925</wp:posOffset>
              </wp:positionH>
              <wp:positionV relativeFrom="paragraph">
                <wp:posOffset>-551180</wp:posOffset>
              </wp:positionV>
              <wp:extent cx="6348095" cy="468630"/>
              <wp:effectExtent l="0" t="0" r="14605" b="7620"/>
              <wp:wrapNone/>
              <wp:docPr id="2" name="自选图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704340" y="800100"/>
                        <a:ext cx="6348095" cy="468630"/>
                      </a:xfrm>
                      <a:custGeom>
                        <a:avLst/>
                        <a:gdLst>
                          <a:gd name="txL" fmla="*/ 2172 w 21600"/>
                          <a:gd name="txT" fmla="*/ 2172 h 21600"/>
                          <a:gd name="txR" fmla="*/ 19427 w 21600"/>
                          <a:gd name="txB" fmla="*/ 19427 h 21600"/>
                        </a:gdLst>
                        <a:ahLst/>
                        <a:cxnLst>
                          <a:cxn ang="0">
                            <a:pos x="21227" y="10800"/>
                          </a:cxn>
                          <a:cxn ang="90">
                            <a:pos x="10800" y="21600"/>
                          </a:cxn>
                          <a:cxn ang="180">
                            <a:pos x="372" y="10800"/>
                          </a:cxn>
                          <a:cxn ang="270">
                            <a:pos x="10800" y="0"/>
                          </a:cxn>
                        </a:cxnLst>
                        <a:rect l="txL" t="txT" r="txR" b="tx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745" y="21600"/>
                            </a:lnTo>
                            <a:lnTo>
                              <a:pt x="20855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8CBB35">
                          <a:alpha val="59999"/>
                        </a:srgbClr>
                      </a:solidFill>
                      <a:ln w="9525">
                        <a:noFill/>
                      </a:ln>
                    </wps:spPr>
                    <wps:bodyPr vert="horz" anchor="t" anchorCtr="0" upright="1"/>
                  </wps:wsp>
                </a:graphicData>
              </a:graphic>
            </wp:anchor>
          </w:drawing>
        </mc:Choice>
        <mc:Fallback>
          <w:pict>
            <v:shape id="自选图形 3" o:spid="_x0000_s1026" o:spt="100" style="position:absolute;left:0pt;margin-left:42.75pt;margin-top:-43.4pt;height:36.9pt;width:499.85pt;z-index:251660288;mso-width-relative:page;mso-height-relative:page;" fillcolor="#8CBB35" filled="t" stroked="f" coordsize="21600,21600" o:gfxdata="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O73Q7HZAAAACwEAAA8AAAAAAAAAAQAgAAAAIgAAAGRycy9kb3ducmV2LnhtbFBLAQIUABQAAAAI&#10;AIdO4kCNBcsm0AIAAGsGAAAOAAAAAAAAAAEAIAAAACgBAABkcnMvZTJvRG9jLnhtbFBLBQYAAAAA&#10;BgAGAFkBAABqBgAAAAA=&#10;" path="m0,0l745,21600,20855,21600,21600,0xe">
              <v:path o:connectlocs="21227,10800;10800,21600;372,10800;10800,0" o:connectangles="0,0,0,0"/>
              <v:fill on="t" opacity="39320f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016514"/>
    <w:multiLevelType w:val="singleLevel"/>
    <w:tmpl w:val="4E016514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4F88A71"/>
    <w:multiLevelType w:val="singleLevel"/>
    <w:tmpl w:val="54F88A71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5B7624C0"/>
    <w:multiLevelType w:val="singleLevel"/>
    <w:tmpl w:val="5B7624C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7B22C6C5"/>
    <w:multiLevelType w:val="singleLevel"/>
    <w:tmpl w:val="7B22C6C5"/>
    <w:lvl w:ilvl="0" w:tentative="0">
      <w:start w:val="8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3Y2E3MDJkMmQxZDBiZDZmNmI4ZWUzNDNiOTAxZWYifQ=="/>
  </w:docVars>
  <w:rsids>
    <w:rsidRoot w:val="00000000"/>
    <w:rsid w:val="05336F90"/>
    <w:rsid w:val="141E72D3"/>
    <w:rsid w:val="2A886554"/>
    <w:rsid w:val="2E277C09"/>
    <w:rsid w:val="36BB29CB"/>
    <w:rsid w:val="40ED75E6"/>
    <w:rsid w:val="5E1B16CF"/>
    <w:rsid w:val="5EA67D62"/>
    <w:rsid w:val="5F331A3A"/>
    <w:rsid w:val="67265EE2"/>
    <w:rsid w:val="67952F01"/>
    <w:rsid w:val="6A8B3FD6"/>
    <w:rsid w:val="6D0B1E05"/>
    <w:rsid w:val="70653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微软雅黑" w:hAnsi="微软雅黑" w:eastAsia="微软雅黑" w:cs="微软雅黑"/>
      <w:sz w:val="20"/>
      <w:szCs w:val="20"/>
      <w:lang w:val="en-US" w:eastAsia="en-US" w:bidi="ar-SA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2657</Words>
  <Characters>3146</Characters>
  <Lines>0</Lines>
  <Paragraphs>0</Paragraphs>
  <TotalTime>1</TotalTime>
  <ScaleCrop>false</ScaleCrop>
  <LinksUpToDate>false</LinksUpToDate>
  <CharactersWithSpaces>3228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2024-03-05T13:30:00Z</dcterms:created>
  <dc:creator>ASUS</dc:creator>
  <cp:lastModifiedBy>杨凯尧</cp:lastModifiedBy>
  <dcterms:modified xsi:type="dcterms:W3CDTF">2024-12-13T02:35:41Z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20DC37BDB0D64A7F9202799E5F6C71B4_13</vt:lpwstr>
  </property>
</Properties>
</file>