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B9DBB">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w:t>
      </w:r>
      <w:bookmarkStart w:id="0" w:name="_GoBack"/>
      <w:r>
        <w:rPr>
          <w:rFonts w:hint="default" w:ascii="Times New Roman" w:hAnsi="Times New Roman" w:cs="Times New Roman" w:eastAsiaTheme="minorEastAsia"/>
          <w:b/>
          <w:bCs/>
          <w:sz w:val="32"/>
          <w:szCs w:val="32"/>
          <w:lang w:eastAsia="zh-CN"/>
        </w:rPr>
        <w:t>C57BL/6小鼠骨髓间充质干细胞</w:t>
      </w:r>
      <w:bookmarkEnd w:id="0"/>
    </w:p>
    <w:p w14:paraId="2AA2261D">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w:t>
      </w:r>
      <w:r>
        <w:rPr>
          <w:rFonts w:hint="eastAsia"/>
          <w:lang w:val="en-US" w:eastAsia="zh-CN"/>
        </w:rPr>
        <w:t>BMSC</w:t>
      </w:r>
      <w:r>
        <w:rPr>
          <w:rFonts w:hint="eastAsia"/>
        </w:rPr>
        <w:t>100</w:t>
      </w:r>
      <w:r>
        <w:rPr>
          <w:rFonts w:hint="eastAsia"/>
          <w:lang w:val="en-US" w:eastAsia="zh-CN"/>
        </w:rPr>
        <w:t>3</w:t>
      </w:r>
    </w:p>
    <w:p w14:paraId="53CAB89F">
      <w:pPr>
        <w:tabs>
          <w:tab w:val="left" w:pos="2496"/>
        </w:tabs>
        <w:spacing w:line="360" w:lineRule="auto"/>
        <w:rPr>
          <w:rFonts w:hint="default" w:ascii="Times New Roman" w:hAnsi="Times New Roman" w:cs="Times New Roman" w:eastAsiaTheme="minorEastAsia"/>
          <w:sz w:val="21"/>
          <w:szCs w:val="21"/>
          <w:lang w:eastAsia="zh-CN"/>
        </w:rPr>
      </w:pPr>
    </w:p>
    <w:p w14:paraId="1F2CE7E6">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4500C64A">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骨髓间充质干细胞是一类存在于</w:t>
      </w:r>
      <w:r>
        <w:rPr>
          <w:rFonts w:hint="default" w:ascii="Times New Roman" w:hAnsi="Times New Roman" w:cs="Times New Roman" w:eastAsiaTheme="minorEastAsia"/>
          <w:sz w:val="21"/>
          <w:szCs w:val="21"/>
          <w:lang w:val="en-US" w:eastAsia="zh-CN"/>
        </w:rPr>
        <w:t>骨髓</w:t>
      </w:r>
      <w:r>
        <w:rPr>
          <w:rFonts w:hint="default" w:ascii="Times New Roman" w:hAnsi="Times New Roman" w:cs="Times New Roman" w:eastAsiaTheme="minorEastAsia"/>
          <w:sz w:val="21"/>
          <w:szCs w:val="21"/>
          <w:lang w:eastAsia="zh-CN"/>
        </w:rPr>
        <w:t>基质中的多能干细胞。因其具有强大的</w:t>
      </w:r>
      <w:r>
        <w:rPr>
          <w:rFonts w:hint="default" w:ascii="Times New Roman" w:hAnsi="Times New Roman" w:cs="Times New Roman" w:eastAsiaTheme="minorEastAsia"/>
          <w:sz w:val="21"/>
          <w:szCs w:val="21"/>
          <w:lang w:val="en-US" w:eastAsia="zh-CN"/>
        </w:rPr>
        <w:t>增殖</w:t>
      </w:r>
      <w:r>
        <w:rPr>
          <w:rFonts w:hint="default" w:ascii="Times New Roman" w:hAnsi="Times New Roman" w:cs="Times New Roman" w:eastAsiaTheme="minorEastAsia"/>
          <w:sz w:val="21"/>
          <w:szCs w:val="21"/>
          <w:lang w:eastAsia="zh-CN"/>
        </w:rPr>
        <w:t>能力和免疫调节功能，被广泛应用于组织工程、细胞治疗和基因治疗领域。C57BL/6小鼠骨髓间充质干细胞作为一个研究热点被广泛应用于再生医学和组织工程，特别是在骨、心血管和神经系统等疾病领域。SiDoTek™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C57BL/6小鼠骨髓间充质干细胞取自C57BL/6小鼠的</w:t>
      </w:r>
      <w:r>
        <w:rPr>
          <w:rFonts w:hint="default" w:ascii="Times New Roman" w:hAnsi="Times New Roman" w:cs="Times New Roman" w:eastAsiaTheme="minorEastAsia"/>
          <w:sz w:val="21"/>
          <w:szCs w:val="21"/>
          <w:lang w:val="en-US" w:eastAsia="zh-CN"/>
        </w:rPr>
        <w:t>骨髓</w:t>
      </w:r>
      <w:r>
        <w:rPr>
          <w:rFonts w:hint="default" w:ascii="Times New Roman" w:hAnsi="Times New Roman" w:cs="Times New Roman" w:eastAsiaTheme="minorEastAsia"/>
          <w:sz w:val="21"/>
          <w:szCs w:val="21"/>
          <w:lang w:eastAsia="zh-CN"/>
        </w:rPr>
        <w:t>，拥有强大的增殖和多向分化能力。可作为细胞模型应用于增殖、衰老、免疫、分化和移植研究。</w:t>
      </w:r>
    </w:p>
    <w:p w14:paraId="00EFEAD5">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79E5AC49">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3D4712DF">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4785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0597754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0913676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C57BL/6小鼠骨髓间充质干细胞</w:t>
            </w:r>
          </w:p>
        </w:tc>
      </w:tr>
      <w:tr w14:paraId="1F85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5A261EA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0F476D0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lang w:val="en-US" w:eastAsia="zh-CN"/>
              </w:rPr>
              <w:t>BMSC</w:t>
            </w:r>
            <w:r>
              <w:rPr>
                <w:rFonts w:hint="eastAsia"/>
              </w:rPr>
              <w:t>100</w:t>
            </w:r>
            <w:r>
              <w:rPr>
                <w:rFonts w:hint="eastAsia"/>
                <w:lang w:val="en-US" w:eastAsia="zh-CN"/>
              </w:rPr>
              <w:t>3</w:t>
            </w:r>
          </w:p>
        </w:tc>
      </w:tr>
      <w:tr w14:paraId="3A84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C820AE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0FB89EE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149D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37869C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08A98B8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P6</w:t>
            </w:r>
          </w:p>
        </w:tc>
      </w:tr>
      <w:tr w14:paraId="3A6D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4FE89CD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52B2158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497D05C9">
      <w:pPr>
        <w:tabs>
          <w:tab w:val="left" w:pos="2496"/>
        </w:tabs>
        <w:spacing w:line="360" w:lineRule="auto"/>
        <w:rPr>
          <w:rFonts w:hint="default" w:ascii="Times New Roman" w:hAnsi="Times New Roman" w:cs="Times New Roman" w:eastAsiaTheme="minorEastAsia"/>
          <w:sz w:val="21"/>
          <w:szCs w:val="21"/>
          <w:lang w:val="en-US" w:eastAsia="zh-CN"/>
        </w:rPr>
      </w:pPr>
    </w:p>
    <w:p w14:paraId="2E5FC1E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3554C2F4">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1FFF086C">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通过细胞复苏活力检测，复苏存活率&gt;80%。</w:t>
      </w:r>
    </w:p>
    <w:p w14:paraId="3AD41C43">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5E0C1FE2">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通过流式检测，CD29、CD44、Sca-1为阳性（&gt;70%）；CD31、CD117为阴性（&lt;5%）。</w:t>
      </w:r>
    </w:p>
    <w:p w14:paraId="34CB1ACD">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具有良好的分化能力，可经诱导分化为成骨细胞、脂肪细胞、软骨细胞等。</w:t>
      </w:r>
    </w:p>
    <w:p w14:paraId="07D7E45F">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1585B866">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3201B553">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7B70B7BF">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53470F74">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16C0E134">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骨髓间充质干细胞在体外增殖能力有限，且不能长期保持分化潜能。基于丰富的细胞培养经验和性能优异的培养体系，SiDoTek™ C57BL/6小鼠骨髓间充质干细胞可在体外传代5次以上依然保持各项指标合格。但我们始终建议尽可能使用较低代次细胞进行科研工作。</w:t>
      </w:r>
    </w:p>
    <w:p w14:paraId="60A6BBDA">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通常SiDoTek™ C57BL/6小鼠骨髓间充质干细胞接种密度为（2.5~4）×10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493E7533">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4C839C68">
      <w:pPr>
        <w:tabs>
          <w:tab w:val="left" w:pos="2496"/>
        </w:tabs>
        <w:spacing w:line="360" w:lineRule="auto"/>
        <w:rPr>
          <w:rFonts w:hint="default" w:ascii="Times New Roman" w:hAnsi="Times New Roman" w:cs="Times New Roman" w:eastAsiaTheme="minorEastAsia"/>
          <w:sz w:val="21"/>
          <w:szCs w:val="21"/>
          <w:lang w:val="en-US" w:eastAsia="zh-CN"/>
        </w:rPr>
      </w:pPr>
    </w:p>
    <w:p w14:paraId="38A9F90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7BA829C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150CDCB5">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C57BL/6小鼠骨髓间充质干细胞</w:t>
      </w:r>
    </w:p>
    <w:p w14:paraId="49283AE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小鼠骨髓间充质干细胞完全培养基（货号：SD-MUXMX-90011，以下简称完全培养基）</w:t>
      </w:r>
    </w:p>
    <w:p w14:paraId="5B4F1C1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41C10858">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05901734">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52F73393">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0F0BDB82">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0AC409DA">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32F4C99B">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5DB9B9B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14C72E1A">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25DC24E5">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249D478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66528D68">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648B376D">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4B92F8E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将细胞接种到1个T25培养瓶或底面积相当的培养容器中。加入足量完全培养基，1个 T25培养瓶中培养基总量不少于5 mL。</w:t>
      </w:r>
    </w:p>
    <w:p w14:paraId="7F9131E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385B2571">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555A946E">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6BCD0998">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 xml:space="preserve">注意：若发现较多漂浮细胞或其他异常情况，应及时排查原因，并与我们联系。 </w:t>
      </w:r>
    </w:p>
    <w:p w14:paraId="3CCDB7E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之后，每2天更换一次完全培养基，直到细胞生长至90%汇合，即需传代。</w:t>
      </w:r>
    </w:p>
    <w:p w14:paraId="22F82E3C">
      <w:pPr>
        <w:tabs>
          <w:tab w:val="left" w:pos="2496"/>
        </w:tabs>
        <w:spacing w:line="360" w:lineRule="auto"/>
        <w:rPr>
          <w:rFonts w:hint="default" w:ascii="Times New Roman" w:hAnsi="Times New Roman" w:cs="Times New Roman" w:eastAsiaTheme="minorEastAsia"/>
          <w:sz w:val="21"/>
          <w:szCs w:val="21"/>
          <w:lang w:val="en-US" w:eastAsia="zh-CN"/>
        </w:rPr>
      </w:pPr>
    </w:p>
    <w:p w14:paraId="6B644450">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39A0293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CA767FD">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58BCE545">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5D99A455">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小鼠骨髓间充质干细胞完全培养基（货号：SD-MUXMX-90011）</w:t>
      </w:r>
    </w:p>
    <w:p w14:paraId="6C9FE56F">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5FCD4B16">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将完全培养基、PBS、胰酶预热至37℃。</w:t>
      </w:r>
    </w:p>
    <w:p w14:paraId="32659E6C">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吸去小鼠骨髓间充质干细胞培养容器中的培养基。</w:t>
      </w:r>
    </w:p>
    <w:p w14:paraId="1BED9DC0">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用PBS（T25培养瓶加入约3 mL，T75培养瓶加入约6 mL）洗涤细胞2次，注意动作轻柔，清洗全面。吸去PBS。</w:t>
      </w:r>
    </w:p>
    <w:p w14:paraId="7AF686C5">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加入胰酶（T25培养瓶加入约1.5 mL，T75培养瓶加入约3 mL），迅速铺匀，保证充分接触细胞表面。</w:t>
      </w:r>
    </w:p>
    <w:p w14:paraId="595B1748">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显微镜下观察消化情况，约70%~80%细胞收缩变圆后，轻拍培养容器外壁，使细胞脱离培养表面。</w:t>
      </w:r>
    </w:p>
    <w:p w14:paraId="255BC87D">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立即加入完全培养基（T25培养瓶加入约3 mL，T75培养瓶加入约6 mL），随即轻摇培养容器，使培养基和胰酶迅速混匀，终止消化。</w:t>
      </w:r>
    </w:p>
    <w:p w14:paraId="209B2733">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使用吸管或移液管吸取细胞悬液，吹打培养容器底面数次，尽可能将细胞都吹打下来。</w:t>
      </w:r>
    </w:p>
    <w:p w14:paraId="355202BB">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26D75C26">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69B121EB">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64F6E116">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44ECDB94">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将小鼠骨髓间充质干细胞按 (2.5~4) ×10⁴个活细胞/cm²的密度，接种至适宜的培养容器内。</w:t>
      </w:r>
    </w:p>
    <w:p w14:paraId="23DA8AA9">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C57BL/6小鼠骨髓间充质干细胞对于细胞密度有较高的要求，我们建议有条件且计数效率较高的情况下，进行手工计数，以期获得精准的细胞浓度指导接种；在没有精确计数条件的情况下，按照适宜比例传代是更好的方法。通常SiDoTek™ C57BL/6小鼠骨髓间充质干细胞的传代比例为1:3，72 h 内生长至可传代汇合度。请根据细胞实际生长情况调整传代比例。</w:t>
      </w:r>
    </w:p>
    <w:p w14:paraId="3BA523E0">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66102DF4">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53391C35">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待细胞生长至 90%汇合 ，即需传代或冻存。</w:t>
      </w:r>
    </w:p>
    <w:p w14:paraId="7535579D">
      <w:pPr>
        <w:numPr>
          <w:ilvl w:val="0"/>
          <w:numId w:val="0"/>
        </w:numPr>
        <w:tabs>
          <w:tab w:val="left" w:pos="2496"/>
        </w:tabs>
        <w:spacing w:line="360" w:lineRule="auto"/>
        <w:ind w:leftChars="0"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注意：正常情况下SiDoTek™ C57BL/6小鼠骨髓间充质干细胞每代生长时间不超过72h，中途不需要换液。频繁换液会破坏构建起的细胞微环境。</w:t>
      </w:r>
    </w:p>
    <w:p w14:paraId="7BA90E26">
      <w:pPr>
        <w:tabs>
          <w:tab w:val="left" w:pos="2496"/>
        </w:tabs>
        <w:spacing w:line="360" w:lineRule="auto"/>
        <w:rPr>
          <w:rFonts w:hint="default" w:ascii="Times New Roman" w:hAnsi="Times New Roman" w:cs="Times New Roman" w:eastAsiaTheme="minorEastAsia"/>
          <w:b/>
          <w:bCs/>
          <w:sz w:val="21"/>
          <w:szCs w:val="21"/>
          <w:lang w:val="en-US" w:eastAsia="zh-CN"/>
        </w:rPr>
      </w:pPr>
    </w:p>
    <w:p w14:paraId="63A2B9A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6AE6739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43A12ED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742B1E9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2B3249B2">
      <w:pPr>
        <w:numPr>
          <w:ilvl w:val="0"/>
          <w:numId w:val="5"/>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6F82AE2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若选用SiDoTek™ 通用血清型程序冻存液，请在操作前将程序降温盒放入4℃冰箱内预冷。</w:t>
      </w:r>
    </w:p>
    <w:p w14:paraId="1F37D49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待细胞生长至可传代的密度，即可准备冻存。</w:t>
      </w:r>
    </w:p>
    <w:p w14:paraId="4CF9223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细胞消化请参考SiDoTek™ C57BL/6小鼠骨髓间充质干细胞的传代操作步骤1~9。</w:t>
      </w:r>
    </w:p>
    <w:p w14:paraId="580E7385">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离心后去除上清，用适量冻存液均匀重悬细胞，对细胞进行计数。</w:t>
      </w:r>
    </w:p>
    <w:p w14:paraId="0FB7F8C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将细胞按比例或数量分装至冻存管中。</w:t>
      </w:r>
    </w:p>
    <w:p w14:paraId="24115A3D">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5D0885D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53D47D3E">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658C26C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448CEB4A">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3AFA14F8">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128A8">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00869">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5A2B3"/>
    <w:multiLevelType w:val="singleLevel"/>
    <w:tmpl w:val="9995A2B3"/>
    <w:lvl w:ilvl="0" w:tentative="0">
      <w:start w:val="2"/>
      <w:numFmt w:val="chineseCounting"/>
      <w:suff w:val="nothing"/>
      <w:lvlText w:val="%1．"/>
      <w:lvlJc w:val="left"/>
      <w:rPr>
        <w:rFonts w:hint="eastAsia"/>
      </w:rPr>
    </w:lvl>
  </w:abstractNum>
  <w:abstractNum w:abstractNumId="1">
    <w:nsid w:val="44BB95D5"/>
    <w:multiLevelType w:val="singleLevel"/>
    <w:tmpl w:val="44BB95D5"/>
    <w:lvl w:ilvl="0" w:tentative="0">
      <w:start w:val="1"/>
      <w:numFmt w:val="decimal"/>
      <w:suff w:val="space"/>
      <w:lvlText w:val="%1."/>
      <w:lvlJc w:val="left"/>
    </w:lvl>
  </w:abstractNum>
  <w:abstractNum w:abstractNumId="2">
    <w:nsid w:val="54F88A71"/>
    <w:multiLevelType w:val="singleLevel"/>
    <w:tmpl w:val="54F88A71"/>
    <w:lvl w:ilvl="0" w:tentative="0">
      <w:start w:val="1"/>
      <w:numFmt w:val="decimal"/>
      <w:suff w:val="space"/>
      <w:lvlText w:val="%1."/>
      <w:lvlJc w:val="left"/>
    </w:lvl>
  </w:abstractNum>
  <w:abstractNum w:abstractNumId="3">
    <w:nsid w:val="5B7624C0"/>
    <w:multiLevelType w:val="singleLevel"/>
    <w:tmpl w:val="5B7624C0"/>
    <w:lvl w:ilvl="0" w:tentative="0">
      <w:start w:val="1"/>
      <w:numFmt w:val="decimal"/>
      <w:suff w:val="space"/>
      <w:lvlText w:val="%1."/>
      <w:lvlJc w:val="left"/>
    </w:lvl>
  </w:abstractNum>
  <w:abstractNum w:abstractNumId="4">
    <w:nsid w:val="6D3611DE"/>
    <w:multiLevelType w:val="singleLevel"/>
    <w:tmpl w:val="6D3611DE"/>
    <w:lvl w:ilvl="0" w:tentative="0">
      <w:start w:val="1"/>
      <w:numFmt w:val="decimal"/>
      <w:suff w:val="space"/>
      <w:lvlText w:val="%1."/>
      <w:lvlJc w:val="left"/>
      <w:rPr>
        <w:rFonts w:hint="default"/>
        <w:b w:val="0"/>
        <w:bCs w:val="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0ED322A0"/>
    <w:rsid w:val="108014C1"/>
    <w:rsid w:val="141E72D3"/>
    <w:rsid w:val="281303D7"/>
    <w:rsid w:val="289666D0"/>
    <w:rsid w:val="2A886554"/>
    <w:rsid w:val="2E277C09"/>
    <w:rsid w:val="36BB29CB"/>
    <w:rsid w:val="505D4C08"/>
    <w:rsid w:val="5D8A7BAD"/>
    <w:rsid w:val="5E1B16CF"/>
    <w:rsid w:val="5EA67D62"/>
    <w:rsid w:val="5F331A3A"/>
    <w:rsid w:val="60195182"/>
    <w:rsid w:val="67265EE2"/>
    <w:rsid w:val="67952F01"/>
    <w:rsid w:val="6A8B3FD6"/>
    <w:rsid w:val="6D0B1E05"/>
    <w:rsid w:val="6EE204A3"/>
    <w:rsid w:val="7065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2676</Words>
  <Characters>3243</Characters>
  <Lines>0</Lines>
  <Paragraphs>0</Paragraphs>
  <TotalTime>0</TotalTime>
  <ScaleCrop>false</ScaleCrop>
  <LinksUpToDate>false</LinksUpToDate>
  <CharactersWithSpaces>3322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