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4C1E3">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成人骨髓间充质干细胞完全培养基</w:t>
      </w:r>
    </w:p>
    <w:p w14:paraId="0EA38559">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产品货号：BMSC2001</w:t>
      </w:r>
      <w:bookmarkStart w:id="0" w:name="_GoBack"/>
      <w:bookmarkEnd w:id="0"/>
    </w:p>
    <w:p w14:paraId="329902CE">
      <w:pPr>
        <w:tabs>
          <w:tab w:val="left" w:pos="2496"/>
        </w:tabs>
        <w:spacing w:line="360" w:lineRule="auto"/>
        <w:rPr>
          <w:rFonts w:hint="default" w:ascii="Times New Roman" w:hAnsi="Times New Roman" w:cs="Times New Roman" w:eastAsiaTheme="minorEastAsia"/>
          <w:sz w:val="21"/>
          <w:szCs w:val="21"/>
          <w:lang w:eastAsia="zh-CN"/>
        </w:rPr>
      </w:pPr>
    </w:p>
    <w:p w14:paraId="4E1D2BD6">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产品介绍</w:t>
      </w:r>
    </w:p>
    <w:p w14:paraId="245EFF99">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由SiDoTek™研发团队精心研制的SiDoTek™成人骨髓间充质干细胞完全培养基套装，包含适合成人骨髓间充质干细胞生长的基础培养基、SiDoTek™优级胎牛血清及细胞生长所需的其他添加物。大量细胞培养数据验证，本产品可长期维持成人骨髓间充质干细胞在体外良好的生长状态，并经过多次传代仍可维持细胞成骨、成脂及成软骨等多向诱导分化能力。</w:t>
      </w:r>
    </w:p>
    <w:p w14:paraId="06D00141">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 ，不可用于临床治疗等其他用途。</w:t>
      </w:r>
    </w:p>
    <w:p w14:paraId="038EBFC0">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038C3855">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套装成分</w:t>
      </w:r>
    </w:p>
    <w:tbl>
      <w:tblPr>
        <w:tblStyle w:val="6"/>
        <w:tblW w:w="10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0"/>
        <w:gridCol w:w="2440"/>
        <w:gridCol w:w="1131"/>
      </w:tblGrid>
      <w:tr w14:paraId="4A76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0" w:type="dxa"/>
          </w:tcPr>
          <w:p w14:paraId="0B62EBB4">
            <w:pPr>
              <w:tabs>
                <w:tab w:val="left" w:pos="2496"/>
              </w:tabs>
              <w:spacing w:line="360" w:lineRule="auto"/>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套装成分</w:t>
            </w:r>
          </w:p>
        </w:tc>
        <w:tc>
          <w:tcPr>
            <w:tcW w:w="2440" w:type="dxa"/>
          </w:tcPr>
          <w:p w14:paraId="075EBDF1">
            <w:pPr>
              <w:tabs>
                <w:tab w:val="left" w:pos="2496"/>
              </w:tabs>
              <w:spacing w:line="360" w:lineRule="auto"/>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货号</w:t>
            </w:r>
          </w:p>
        </w:tc>
        <w:tc>
          <w:tcPr>
            <w:tcW w:w="1131" w:type="dxa"/>
          </w:tcPr>
          <w:p w14:paraId="3C261951">
            <w:pPr>
              <w:tabs>
                <w:tab w:val="left" w:pos="2496"/>
              </w:tabs>
              <w:spacing w:line="360" w:lineRule="auto"/>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体积</w:t>
            </w:r>
          </w:p>
        </w:tc>
      </w:tr>
      <w:tr w14:paraId="63AF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0" w:type="dxa"/>
          </w:tcPr>
          <w:p w14:paraId="14B697F0">
            <w:pPr>
              <w:tabs>
                <w:tab w:val="left" w:pos="2496"/>
              </w:tabs>
              <w:spacing w:line="360" w:lineRule="auto"/>
              <w:rPr>
                <w:rFonts w:hint="default" w:ascii="Times New Roman" w:hAnsi="Times New Roman" w:cs="Times New Roman" w:eastAsiaTheme="minorEastAsia"/>
                <w:b w:val="0"/>
                <w:bCs w:val="0"/>
                <w:sz w:val="21"/>
                <w:szCs w:val="21"/>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w:t>
            </w:r>
            <w:r>
              <w:rPr>
                <w:rFonts w:hint="default" w:ascii="Times New Roman" w:hAnsi="Times New Roman" w:cs="Times New Roman" w:eastAsiaTheme="minorEastAsia"/>
                <w:b w:val="0"/>
                <w:bCs w:val="0"/>
                <w:color w:val="000000"/>
                <w:sz w:val="21"/>
                <w:szCs w:val="21"/>
                <w:lang w:eastAsia="zh-CN"/>
              </w:rPr>
              <w:t>细胞基础培养基</w:t>
            </w:r>
          </w:p>
          <w:p w14:paraId="0CB8CDB4">
            <w:pPr>
              <w:tabs>
                <w:tab w:val="left" w:pos="2496"/>
              </w:tabs>
              <w:spacing w:line="360" w:lineRule="auto"/>
              <w:rPr>
                <w:rFonts w:hint="default" w:ascii="Times New Roman" w:hAnsi="Times New Roman" w:cs="Times New Roman" w:eastAsiaTheme="minorEastAsia"/>
                <w:b w:val="0"/>
                <w:bCs w:val="0"/>
                <w:sz w:val="21"/>
                <w:szCs w:val="21"/>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w:t>
            </w:r>
            <w:r>
              <w:rPr>
                <w:rFonts w:hint="default" w:ascii="Times New Roman" w:hAnsi="Times New Roman" w:cs="Times New Roman" w:eastAsiaTheme="minorEastAsia"/>
                <w:b w:val="0"/>
                <w:bCs w:val="0"/>
                <w:color w:val="000000"/>
                <w:sz w:val="21"/>
                <w:szCs w:val="21"/>
                <w:lang w:eastAsia="zh-CN"/>
              </w:rPr>
              <w:t>Basal Medium For Cell Culture</w:t>
            </w:r>
          </w:p>
        </w:tc>
        <w:tc>
          <w:tcPr>
            <w:tcW w:w="2440" w:type="dxa"/>
            <w:vAlign w:val="top"/>
          </w:tcPr>
          <w:p w14:paraId="0FAE7E8C">
            <w:pPr>
              <w:keepNext w:val="0"/>
              <w:keepLines w:val="0"/>
              <w:pageBreakBefore w:val="0"/>
              <w:widowControl w:val="0"/>
              <w:tabs>
                <w:tab w:val="left" w:pos="2496"/>
              </w:tabs>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color w:val="000000"/>
                <w:sz w:val="21"/>
                <w:szCs w:val="21"/>
                <w:lang w:eastAsia="zh-CN"/>
              </w:rPr>
            </w:pPr>
            <w:r>
              <w:rPr>
                <w:rFonts w:hint="default" w:ascii="Times New Roman" w:hAnsi="Times New Roman" w:cs="Times New Roman" w:eastAsiaTheme="minorEastAsia"/>
                <w:color w:val="000000"/>
                <w:sz w:val="21"/>
                <w:szCs w:val="21"/>
                <w:lang w:val="en-US" w:eastAsia="zh-CN"/>
              </w:rPr>
              <w:t>SD-</w:t>
            </w:r>
            <w:r>
              <w:rPr>
                <w:rFonts w:hint="default" w:ascii="Times New Roman" w:hAnsi="Times New Roman" w:cs="Times New Roman" w:eastAsiaTheme="minorEastAsia"/>
                <w:color w:val="000000"/>
                <w:sz w:val="21"/>
                <w:szCs w:val="21"/>
                <w:lang w:eastAsia="zh-CN"/>
              </w:rPr>
              <w:t>BLDM-03011</w:t>
            </w:r>
          </w:p>
        </w:tc>
        <w:tc>
          <w:tcPr>
            <w:tcW w:w="1131" w:type="dxa"/>
            <w:vAlign w:val="top"/>
          </w:tcPr>
          <w:p w14:paraId="19B175E8">
            <w:pPr>
              <w:keepNext w:val="0"/>
              <w:keepLines w:val="0"/>
              <w:pageBreakBefore w:val="0"/>
              <w:widowControl w:val="0"/>
              <w:tabs>
                <w:tab w:val="left" w:pos="2496"/>
              </w:tabs>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eastAsiaTheme="minorEastAsia"/>
                <w:color w:val="000000"/>
                <w:sz w:val="21"/>
                <w:szCs w:val="21"/>
                <w:lang w:eastAsia="zh-CN"/>
              </w:rPr>
              <w:t>4</w:t>
            </w:r>
            <w:r>
              <w:rPr>
                <w:rFonts w:hint="default" w:ascii="Times New Roman" w:hAnsi="Times New Roman" w:cs="Times New Roman" w:eastAsiaTheme="minorEastAsia"/>
                <w:color w:val="000000"/>
                <w:sz w:val="21"/>
                <w:szCs w:val="21"/>
                <w:lang w:val="en-US" w:eastAsia="zh-CN"/>
              </w:rPr>
              <w:t>5</w:t>
            </w:r>
            <w:r>
              <w:rPr>
                <w:rFonts w:hint="default" w:ascii="Times New Roman" w:hAnsi="Times New Roman" w:cs="Times New Roman" w:eastAsiaTheme="minorEastAsia"/>
                <w:color w:val="000000"/>
                <w:sz w:val="21"/>
                <w:szCs w:val="21"/>
                <w:lang w:eastAsia="zh-CN"/>
              </w:rPr>
              <w:t>0 mL</w:t>
            </w:r>
          </w:p>
        </w:tc>
      </w:tr>
      <w:tr w14:paraId="1632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0" w:type="dxa"/>
          </w:tcPr>
          <w:p w14:paraId="44C588EA">
            <w:pPr>
              <w:tabs>
                <w:tab w:val="left" w:pos="2496"/>
              </w:tabs>
              <w:spacing w:line="360" w:lineRule="auto"/>
              <w:rPr>
                <w:rFonts w:hint="default" w:ascii="Times New Roman" w:hAnsi="Times New Roman" w:cs="Times New Roman" w:eastAsiaTheme="minorEastAsia"/>
                <w:b w:val="0"/>
                <w:bCs w:val="0"/>
                <w:sz w:val="21"/>
                <w:szCs w:val="21"/>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w:t>
            </w:r>
            <w:r>
              <w:rPr>
                <w:rFonts w:hint="default" w:ascii="Times New Roman" w:hAnsi="Times New Roman" w:cs="Times New Roman" w:eastAsiaTheme="minorEastAsia"/>
                <w:b w:val="0"/>
                <w:bCs w:val="0"/>
                <w:color w:val="000000"/>
                <w:sz w:val="21"/>
                <w:szCs w:val="21"/>
                <w:lang w:eastAsia="zh-CN"/>
              </w:rPr>
              <w:t>优级胎牛血清+培养添加物</w:t>
            </w:r>
          </w:p>
          <w:p w14:paraId="19888065">
            <w:pPr>
              <w:tabs>
                <w:tab w:val="left" w:pos="2496"/>
              </w:tabs>
              <w:spacing w:line="360" w:lineRule="auto"/>
              <w:rPr>
                <w:rFonts w:hint="default" w:ascii="Times New Roman" w:hAnsi="Times New Roman" w:cs="Times New Roman" w:eastAsiaTheme="minorEastAsia"/>
                <w:b w:val="0"/>
                <w:bCs w:val="0"/>
                <w:sz w:val="21"/>
                <w:szCs w:val="21"/>
                <w:vertAlign w:val="baseline"/>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Fetal Bovine Serum + Culture Supplement（For Human Bone Marrow Mesenchymal Stem Cells）</w:t>
            </w:r>
          </w:p>
        </w:tc>
        <w:tc>
          <w:tcPr>
            <w:tcW w:w="2440" w:type="dxa"/>
            <w:vAlign w:val="top"/>
          </w:tcPr>
          <w:p w14:paraId="541F4312">
            <w:pPr>
              <w:keepNext w:val="0"/>
              <w:keepLines w:val="0"/>
              <w:pageBreakBefore w:val="0"/>
              <w:widowControl w:val="0"/>
              <w:tabs>
                <w:tab w:val="left" w:pos="2496"/>
              </w:tabs>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color w:val="000000"/>
                <w:sz w:val="21"/>
                <w:szCs w:val="21"/>
                <w:lang w:eastAsia="zh-CN"/>
              </w:rPr>
            </w:pPr>
            <w:r>
              <w:rPr>
                <w:rFonts w:hint="default" w:ascii="Times New Roman" w:hAnsi="Times New Roman" w:cs="Times New Roman" w:eastAsiaTheme="minorEastAsia"/>
                <w:color w:val="000000"/>
                <w:sz w:val="21"/>
                <w:szCs w:val="21"/>
                <w:lang w:val="en-US" w:eastAsia="zh-CN"/>
              </w:rPr>
              <w:t>SD-</w:t>
            </w:r>
            <w:r>
              <w:rPr>
                <w:rFonts w:hint="default" w:ascii="Times New Roman" w:hAnsi="Times New Roman" w:cs="Times New Roman" w:eastAsiaTheme="minorEastAsia"/>
                <w:color w:val="000000"/>
                <w:sz w:val="21"/>
                <w:szCs w:val="21"/>
                <w:lang w:eastAsia="zh-CN"/>
              </w:rPr>
              <w:t>HUXMA-05001</w:t>
            </w:r>
          </w:p>
        </w:tc>
        <w:tc>
          <w:tcPr>
            <w:tcW w:w="1131" w:type="dxa"/>
            <w:vAlign w:val="top"/>
          </w:tcPr>
          <w:p w14:paraId="475E209B">
            <w:pPr>
              <w:keepNext w:val="0"/>
              <w:keepLines w:val="0"/>
              <w:pageBreakBefore w:val="0"/>
              <w:widowControl w:val="0"/>
              <w:tabs>
                <w:tab w:val="left" w:pos="2496"/>
              </w:tabs>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eastAsiaTheme="minorEastAsia"/>
                <w:color w:val="000000"/>
                <w:sz w:val="21"/>
                <w:szCs w:val="21"/>
                <w:lang w:eastAsia="zh-CN"/>
              </w:rPr>
              <w:t>50 mL</w:t>
            </w:r>
          </w:p>
        </w:tc>
      </w:tr>
    </w:tbl>
    <w:p w14:paraId="7926C0D2">
      <w:pPr>
        <w:tabs>
          <w:tab w:val="left" w:pos="2496"/>
        </w:tabs>
        <w:spacing w:line="360" w:lineRule="auto"/>
        <w:rPr>
          <w:rFonts w:hint="default" w:ascii="Times New Roman" w:hAnsi="Times New Roman" w:cs="Times New Roman" w:eastAsiaTheme="minorEastAsia"/>
          <w:sz w:val="21"/>
          <w:szCs w:val="21"/>
          <w:lang w:val="en-US" w:eastAsia="zh-CN"/>
        </w:rPr>
      </w:pPr>
    </w:p>
    <w:p w14:paraId="35AFDE5C">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6B1A13B2">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3A84B9EC">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通过渗透压、pH检测。</w:t>
      </w:r>
    </w:p>
    <w:p w14:paraId="5B4F7042">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通过产品性能检测。</w:t>
      </w:r>
    </w:p>
    <w:p w14:paraId="777E445C">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p>
    <w:p w14:paraId="58A88AF8">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66FDA385">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严格的无菌环境。务必保证实验室整体和操作区域的清洁。</w:t>
      </w:r>
    </w:p>
    <w:p w14:paraId="3DE690F3">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0B35A167">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各成分需按照保存条件妥善存放，并尽快使用。</w:t>
      </w:r>
    </w:p>
    <w:p w14:paraId="4E70DF89">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若短期内无法用完整套培养基，应按套装内各成分体积比例分批配制并分装保存。</w:t>
      </w:r>
    </w:p>
    <w:p w14:paraId="39B40782">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p>
    <w:p w14:paraId="4BF6110F">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产品稳定性及保存条件</w:t>
      </w:r>
    </w:p>
    <w:p w14:paraId="7C347557">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套装内所有成分均需避光保存。</w:t>
      </w:r>
    </w:p>
    <w:p w14:paraId="616161A6">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套装内基础培养基需置于4℃冰箱保存，保质期为1年；其他成分需置于-20℃保存，保质期为2年。</w:t>
      </w:r>
    </w:p>
    <w:p w14:paraId="693299D6">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配制后的完全培养基，需放置4℃保存，保质期为1个月；若能保证培养条件稳定，容器密封性能良好，避免冷热交替，则保质期可适当延长，但不得超过45天。</w:t>
      </w:r>
    </w:p>
    <w:p w14:paraId="0A0FF356">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所有产品请于保质期内使用；过期的成分可能严重影响培养效果。</w:t>
      </w:r>
    </w:p>
    <w:p w14:paraId="28ABD545">
      <w:pPr>
        <w:tabs>
          <w:tab w:val="left" w:pos="2496"/>
        </w:tabs>
        <w:spacing w:line="360" w:lineRule="auto"/>
        <w:rPr>
          <w:rFonts w:hint="default" w:ascii="Times New Roman" w:hAnsi="Times New Roman" w:cs="Times New Roman" w:eastAsiaTheme="minorEastAsia"/>
          <w:sz w:val="21"/>
          <w:szCs w:val="21"/>
          <w:lang w:val="en-US" w:eastAsia="zh-CN"/>
        </w:rPr>
      </w:pPr>
    </w:p>
    <w:p w14:paraId="006BBA2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完全培养基的配制</w:t>
      </w:r>
    </w:p>
    <w:p w14:paraId="4D818D69">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36F399C8">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SiDoTek™成人骨髓间充质干细胞完全培养基套装</w:t>
      </w:r>
    </w:p>
    <w:p w14:paraId="5400B761">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清洁、无菌、质量稳定的一次性耗材（移液管、移液器吸头、离心管等）</w:t>
      </w:r>
    </w:p>
    <w:p w14:paraId="25C3CB17">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洁净的封口膜、铝箔纸等避光材料</w:t>
      </w:r>
    </w:p>
    <w:p w14:paraId="1B4B7E9A">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70FEFBD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配制前至少6 h，将套装中的SiDoTek™优级胎牛血清+培养添加物（以下简称血清）放置于4℃冰箱内完全融化。</w:t>
      </w:r>
    </w:p>
    <w:p w14:paraId="08B463DC">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注意：融化后的血清中可能出现絮状物，其主要成分为析出的血纤蛋白，这不会影响产品使用效果。若不是对细胞培养体系的纯净度要求极高 ，我们不建议过滤或离心去除絮状物。</w:t>
      </w:r>
    </w:p>
    <w:p w14:paraId="439D36FF">
      <w:pPr>
        <w:numPr>
          <w:ilvl w:val="0"/>
          <w:numId w:val="5"/>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用75%医用酒精仔细擦拭所有成分外包装。在超净台内打开包装。</w:t>
      </w:r>
    </w:p>
    <w:p w14:paraId="3AB66CED">
      <w:pPr>
        <w:numPr>
          <w:ilvl w:val="0"/>
          <w:numId w:val="5"/>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将血清全部加入SiDoTek™细胞基础培养基中。</w:t>
      </w:r>
    </w:p>
    <w:p w14:paraId="47EDAF9C">
      <w:pPr>
        <w:numPr>
          <w:ilvl w:val="0"/>
          <w:numId w:val="5"/>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拧紧基础培养基瓶盖，轻柔并充分摇匀。</w:t>
      </w:r>
    </w:p>
    <w:p w14:paraId="305631E4">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1）若短期内无法用完全部培养基，我们建议分批配制；请按照套装内各成分比例，配制所需量；剩余的成分必须严格按照各自的保存条件妥善保存，并且不可多次冻融；（2）请根据自己需求选择是否添加抗生素，如需添加请自购。</w:t>
      </w:r>
    </w:p>
    <w:p w14:paraId="41113238">
      <w:pPr>
        <w:numPr>
          <w:ilvl w:val="0"/>
          <w:numId w:val="5"/>
        </w:numPr>
        <w:tabs>
          <w:tab w:val="left" w:pos="2496"/>
        </w:tabs>
        <w:spacing w:line="360" w:lineRule="auto"/>
        <w:ind w:left="0" w:leftChars="0" w:firstLine="0" w:firstLineChars="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用封口膜密封瓶口，用铝箔纸包裹瓶身，并标注名称、配制日期等信息。</w:t>
      </w:r>
    </w:p>
    <w:p w14:paraId="4310FEDF">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注意：SiDoTek™成人骨髓间充质干细胞完全培养基套装内的所有成分都严格控制无菌，一般情况下我们不建议再次除菌。若配制过程有污染风险，可将完全培养基过滤除菌。</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43C9F">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CEB15">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14029"/>
    <w:multiLevelType w:val="singleLevel"/>
    <w:tmpl w:val="BF614029"/>
    <w:lvl w:ilvl="0" w:tentative="0">
      <w:start w:val="1"/>
      <w:numFmt w:val="decimal"/>
      <w:suff w:val="space"/>
      <w:lvlText w:val="%1."/>
      <w:lvlJc w:val="left"/>
    </w:lvl>
  </w:abstractNum>
  <w:abstractNum w:abstractNumId="1">
    <w:nsid w:val="E1C27B48"/>
    <w:multiLevelType w:val="singleLevel"/>
    <w:tmpl w:val="E1C27B48"/>
    <w:lvl w:ilvl="0" w:tentative="0">
      <w:start w:val="2"/>
      <w:numFmt w:val="decimal"/>
      <w:suff w:val="space"/>
      <w:lvlText w:val="%1."/>
      <w:lvlJc w:val="left"/>
    </w:lvl>
  </w:abstractNum>
  <w:abstractNum w:abstractNumId="2">
    <w:nsid w:val="E532F606"/>
    <w:multiLevelType w:val="singleLevel"/>
    <w:tmpl w:val="E532F606"/>
    <w:lvl w:ilvl="0" w:tentative="0">
      <w:start w:val="1"/>
      <w:numFmt w:val="decimal"/>
      <w:suff w:val="space"/>
      <w:lvlText w:val="%1."/>
      <w:lvlJc w:val="left"/>
    </w:lvl>
  </w:abstractNum>
  <w:abstractNum w:abstractNumId="3">
    <w:nsid w:val="F316EB64"/>
    <w:multiLevelType w:val="singleLevel"/>
    <w:tmpl w:val="F316EB64"/>
    <w:lvl w:ilvl="0" w:tentative="0">
      <w:start w:val="1"/>
      <w:numFmt w:val="decimal"/>
      <w:suff w:val="space"/>
      <w:lvlText w:val="%1."/>
      <w:lvlJc w:val="left"/>
    </w:lvl>
  </w:abstractNum>
  <w:abstractNum w:abstractNumId="4">
    <w:nsid w:val="0B391068"/>
    <w:multiLevelType w:val="singleLevel"/>
    <w:tmpl w:val="0B391068"/>
    <w:lvl w:ilvl="0" w:tentative="0">
      <w:start w:val="1"/>
      <w:numFmt w:val="decimal"/>
      <w:suff w:val="space"/>
      <w:lvlText w:val="%1."/>
      <w:lvlJc w:val="left"/>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1C2B2E7E"/>
    <w:rsid w:val="2A886554"/>
    <w:rsid w:val="2E277C09"/>
    <w:rsid w:val="36F96A94"/>
    <w:rsid w:val="5F331A3A"/>
    <w:rsid w:val="67265EE2"/>
    <w:rsid w:val="6A8B3FD6"/>
    <w:rsid w:val="6D0B1E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1082</Words>
  <Characters>1299</Characters>
  <Lines>0</Lines>
  <Paragraphs>0</Paragraphs>
  <TotalTime>0</TotalTime>
  <ScaleCrop>false</ScaleCrop>
  <LinksUpToDate>false</LinksUpToDate>
  <CharactersWithSpaces>1325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2024-12-13T03:11:07Z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