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DCA84">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w:t>
      </w:r>
      <w:bookmarkStart w:id="0" w:name="_GoBack"/>
      <w:r>
        <w:rPr>
          <w:rFonts w:hint="default" w:ascii="Times New Roman" w:hAnsi="Times New Roman" w:cs="Times New Roman" w:eastAsiaTheme="minorEastAsia"/>
          <w:b/>
          <w:bCs/>
          <w:sz w:val="32"/>
          <w:szCs w:val="32"/>
          <w:lang w:eastAsia="zh-CN"/>
        </w:rPr>
        <w:t>C57BL/6小鼠脂肪间充质干细胞</w:t>
      </w:r>
      <w:bookmarkEnd w:id="0"/>
    </w:p>
    <w:p w14:paraId="1700B6EB">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产品货号：AMSC1005</w:t>
      </w:r>
    </w:p>
    <w:p w14:paraId="3C08B63C">
      <w:pPr>
        <w:tabs>
          <w:tab w:val="left" w:pos="2496"/>
        </w:tabs>
        <w:spacing w:line="360" w:lineRule="auto"/>
        <w:rPr>
          <w:rFonts w:hint="default" w:ascii="Times New Roman" w:hAnsi="Times New Roman" w:cs="Times New Roman" w:eastAsiaTheme="minorEastAsia"/>
          <w:sz w:val="21"/>
          <w:szCs w:val="21"/>
          <w:lang w:eastAsia="zh-CN"/>
        </w:rPr>
      </w:pPr>
    </w:p>
    <w:p w14:paraId="1152A966">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0E78B950">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脂肪间充质干细胞是一类存在于脂肪基质中的多能干细胞。因其具有强大的</w:t>
      </w:r>
      <w:r>
        <w:rPr>
          <w:rFonts w:hint="default" w:ascii="Times New Roman" w:hAnsi="Times New Roman" w:cs="Times New Roman" w:eastAsiaTheme="minorEastAsia"/>
          <w:sz w:val="21"/>
          <w:szCs w:val="21"/>
          <w:lang w:val="en-US" w:eastAsia="zh-CN"/>
        </w:rPr>
        <w:t>增殖</w:t>
      </w:r>
      <w:r>
        <w:rPr>
          <w:rFonts w:hint="default" w:ascii="Times New Roman" w:hAnsi="Times New Roman" w:cs="Times New Roman" w:eastAsiaTheme="minorEastAsia"/>
          <w:sz w:val="21"/>
          <w:szCs w:val="21"/>
          <w:lang w:eastAsia="zh-CN"/>
        </w:rPr>
        <w:t>能力和免疫调节功能，被广泛应用于组织工程、细胞治疗和基因治疗领域。C57BL/6小鼠脂肪间充质干细胞作为一个研究热点被广泛应用于再生医学和组织工程，特别是在骨、心血管和神经系统等疾病领域。SiDoTek™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C57BL/6小鼠脂肪间充质干细胞取自C57BL/6小鼠的腹股沟脂肪，这些细胞能够表达ADSCs的特定蛋白，拥有强大的增殖和多向分化能力。可作为细胞模型应用于增殖、衰老、免疫、分化和移植研究。</w:t>
      </w:r>
    </w:p>
    <w:p w14:paraId="26A62653">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500F5882">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321FE32D">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3960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279E1012">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12B6005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C57BL/6小鼠脂肪间充质干细胞</w:t>
            </w:r>
          </w:p>
        </w:tc>
      </w:tr>
      <w:tr w14:paraId="583E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2E2A1C1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5BC07B4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rPr>
              <w:t>AMSC100</w:t>
            </w:r>
            <w:r>
              <w:rPr>
                <w:rFonts w:hint="eastAsia"/>
                <w:lang w:val="en-US" w:eastAsia="zh-CN"/>
              </w:rPr>
              <w:t>5</w:t>
            </w:r>
          </w:p>
        </w:tc>
      </w:tr>
      <w:tr w14:paraId="03E1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4BC7745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35989A6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25A4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69BB88C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050EA0E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6667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6C9CB1C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768334A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3D034CF7">
      <w:pPr>
        <w:tabs>
          <w:tab w:val="left" w:pos="2496"/>
        </w:tabs>
        <w:spacing w:line="360" w:lineRule="auto"/>
        <w:rPr>
          <w:rFonts w:hint="default" w:ascii="Times New Roman" w:hAnsi="Times New Roman" w:cs="Times New Roman" w:eastAsiaTheme="minorEastAsia"/>
          <w:sz w:val="21"/>
          <w:szCs w:val="21"/>
          <w:lang w:val="en-US" w:eastAsia="zh-CN"/>
        </w:rPr>
      </w:pPr>
    </w:p>
    <w:p w14:paraId="591CEEB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449B3092">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0C7FC3A7">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通过细胞复苏活力检测，复苏存活率&gt;80%。</w:t>
      </w:r>
    </w:p>
    <w:p w14:paraId="406982F6">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2E324707">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通过流式检测，CD29、CD44、Sca-1为阳性（&gt;70%）；CD31、CD117为阴性（&lt;5%）。</w:t>
      </w:r>
    </w:p>
    <w:p w14:paraId="43D88EBB">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具有良好的分化能力，可经诱导分化为成骨细胞、脂肪细胞、软骨细胞等。</w:t>
      </w:r>
    </w:p>
    <w:p w14:paraId="43220D25">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46EAF4C1">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194BA597">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0E998E0E">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79050558">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235927DB">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脂肪间充质干细胞在体外增殖能力有限，且不能长期保持分化潜能。基于丰富的细胞培养经验和性能优异的培养体系，SiDoTek™ C57BL/6小鼠脂肪间充质干细胞可在体外传代5次以上依然保持各项指标合格。但我们始终建议尽可能使用较低代次细胞进行科研工作。</w:t>
      </w:r>
    </w:p>
    <w:p w14:paraId="66E8C3BC">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通常SiDoTek™ C57BL/6小鼠脂肪间充质干细胞接种密度为（2.5~4）×10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73ADFF3C">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50DB7B9B">
      <w:pPr>
        <w:tabs>
          <w:tab w:val="left" w:pos="2496"/>
        </w:tabs>
        <w:spacing w:line="360" w:lineRule="auto"/>
        <w:rPr>
          <w:rFonts w:hint="default" w:ascii="Times New Roman" w:hAnsi="Times New Roman" w:cs="Times New Roman" w:eastAsiaTheme="minorEastAsia"/>
          <w:sz w:val="21"/>
          <w:szCs w:val="21"/>
          <w:lang w:val="en-US" w:eastAsia="zh-CN"/>
        </w:rPr>
      </w:pPr>
    </w:p>
    <w:p w14:paraId="1955B72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4B5BAAB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68C43FE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C57BL/6小鼠脂肪间充质干细胞</w:t>
      </w:r>
    </w:p>
    <w:p w14:paraId="6EF1A69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小鼠脂肪间充质干细胞完全培养基（货号：SD-MUXMD-90011，以下简称完全培养基）</w:t>
      </w:r>
    </w:p>
    <w:p w14:paraId="00AFD46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68EA7B67">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7821D0AF">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55F95C00">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079EA6BA">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105BB453">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6D9B97B6">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39436F6E">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1814B658">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66FEE6E8">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2A78E7E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1E09F50A">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49C6E81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6D51504A">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将细胞接种到1个T25培养瓶或底面积相当的培养容器中。加入足量完全培养基，1个 T25培养瓶中培养基总量不少于5 mL。</w:t>
      </w:r>
    </w:p>
    <w:p w14:paraId="300A90CE">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498875F0">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08BBD001">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0FCA8ABD">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 xml:space="preserve">注意：若发现较多漂浮细胞或其他异常情况，应及时排查原因，并与我们联系。 </w:t>
      </w:r>
    </w:p>
    <w:p w14:paraId="1187BB5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之后，每2天更换一次完全培养基，直到细胞生长至90%汇合，即需传代。</w:t>
      </w:r>
    </w:p>
    <w:p w14:paraId="56F261DD">
      <w:pPr>
        <w:tabs>
          <w:tab w:val="left" w:pos="2496"/>
        </w:tabs>
        <w:spacing w:line="360" w:lineRule="auto"/>
        <w:rPr>
          <w:rFonts w:hint="default" w:ascii="Times New Roman" w:hAnsi="Times New Roman" w:cs="Times New Roman" w:eastAsiaTheme="minorEastAsia"/>
          <w:sz w:val="21"/>
          <w:szCs w:val="21"/>
          <w:lang w:val="en-US" w:eastAsia="zh-CN"/>
        </w:rPr>
      </w:pPr>
    </w:p>
    <w:p w14:paraId="7CFD646A">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2F440A7C">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29E5A8FC">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6A560C25">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5CFB8B1D">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C57BL/6小鼠脂肪间充质干细胞完全培养基（货号：SD-MUXES-90011）</w:t>
      </w:r>
    </w:p>
    <w:p w14:paraId="51B49775">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3D546088">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将完全培养基、PBS、胰酶预热至37℃。</w:t>
      </w:r>
    </w:p>
    <w:p w14:paraId="3D6998AC">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吸去小鼠脂肪间充质干细胞培养容器中的培养基。</w:t>
      </w:r>
    </w:p>
    <w:p w14:paraId="1042B738">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用PBS（T25培养瓶加入约3 mL，T75培养瓶加入约6 mL）洗涤细胞2次，注意动作轻柔，清洗全面。吸去PBS。</w:t>
      </w:r>
    </w:p>
    <w:p w14:paraId="277FA7B5">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加入胰酶（T25培养瓶加入约1.5 mL，T75培养瓶加入约3 mL），迅速铺匀，保证充分接触细胞表面。</w:t>
      </w:r>
    </w:p>
    <w:p w14:paraId="2FBB2B49">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显微镜下观察消化情况，约70%~80%细胞收缩变圆后，轻拍培养容器外壁，使细胞脱离培养表面。</w:t>
      </w:r>
    </w:p>
    <w:p w14:paraId="080F9569">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立即加入完全培养基（T25培养瓶加入约3 mL，T75培养瓶加入约6 mL），随即轻摇培养容器，使培养基和胰酶迅速混匀，终止消化。</w:t>
      </w:r>
    </w:p>
    <w:p w14:paraId="60BA7F49">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使用吸管或移液管吸取细胞悬液，吹打培养容器底面数次，尽可能将细胞都吹打下来。</w:t>
      </w:r>
    </w:p>
    <w:p w14:paraId="66A1FF8A">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1EF53AD1">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10A31775">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2F3E07FC">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232F06A3">
      <w:pPr>
        <w:widowControl w:val="0"/>
        <w:numPr>
          <w:ilvl w:val="0"/>
          <w:numId w:val="4"/>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将小鼠脂肪间充质干细胞按 (2.5~4) ×10⁴个活细胞/cm²的密度，接种至适宜的培养容器内。</w:t>
      </w:r>
    </w:p>
    <w:p w14:paraId="50908E64">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C57BL/6小鼠脂肪间充质干细胞对于细胞密度有较高的要求，我们建议有条件且计数效率较高的情况下，进行手工计数，以期获得精准的细胞浓度指导接种；在没有精确计数条件的情况下，按照适宜比例传代是更好的方法。通常SiDoTek™ C57BL/6小鼠脂肪间充质干细胞的传代比例为1:3，72 h 内生长至可传代汇合度。请根据细胞实际生长情况调整传代比例。</w:t>
      </w:r>
    </w:p>
    <w:p w14:paraId="6F891750">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71BF814B">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1AE503CA">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待细胞团生长至合适大小，即需传代或冻存。</w:t>
      </w:r>
    </w:p>
    <w:p w14:paraId="7D18ABE4">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注意：正常情况下SiDoTek™ C57BL/6小鼠脂肪间充质干细胞每代生长时间不超过72h,中途不需要换液。频繁换液会破坏构建起的细胞微环境。</w:t>
      </w:r>
    </w:p>
    <w:p w14:paraId="6DD2AD53">
      <w:pPr>
        <w:tabs>
          <w:tab w:val="left" w:pos="2496"/>
        </w:tabs>
        <w:spacing w:line="360" w:lineRule="auto"/>
        <w:rPr>
          <w:rFonts w:hint="default" w:ascii="Times New Roman" w:hAnsi="Times New Roman" w:cs="Times New Roman" w:eastAsiaTheme="minorEastAsia"/>
          <w:b/>
          <w:bCs/>
          <w:sz w:val="21"/>
          <w:szCs w:val="21"/>
          <w:lang w:val="en-US" w:eastAsia="zh-CN"/>
        </w:rPr>
      </w:pPr>
    </w:p>
    <w:p w14:paraId="0FD5D0F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1A1EC36D">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712B164C">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6CBD5BA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50875C3A">
      <w:pPr>
        <w:numPr>
          <w:ilvl w:val="0"/>
          <w:numId w:val="5"/>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22C1CE99">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若选用SiDoTek™ 通用血清型程序冻存液，请在操作前将程序降温盒放入4℃冰箱内预冷。</w:t>
      </w:r>
    </w:p>
    <w:p w14:paraId="748D6797">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待细胞生长至可传代的密度，即可准备冻存。</w:t>
      </w:r>
    </w:p>
    <w:p w14:paraId="4017AA6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细胞消化请参考SiDoTek™ C57BL/6小鼠脂肪间充质干细胞的传代操作步骤1~9。</w:t>
      </w:r>
    </w:p>
    <w:p w14:paraId="14CF8A25">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离心后去除上清，用适量冻存液均匀重悬细胞，对细胞进行计数。</w:t>
      </w:r>
    </w:p>
    <w:p w14:paraId="03739B58">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将细胞按比例或数量分装至冻存管中。</w:t>
      </w:r>
    </w:p>
    <w:p w14:paraId="2CE3CD3B">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0B7FEA9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188AF1CF">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585CEDBF">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6841D3DC">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4B5FBC0F">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28A91">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3B4FD">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5A2B3"/>
    <w:multiLevelType w:val="singleLevel"/>
    <w:tmpl w:val="9995A2B3"/>
    <w:lvl w:ilvl="0" w:tentative="0">
      <w:start w:val="2"/>
      <w:numFmt w:val="chineseCounting"/>
      <w:suff w:val="nothing"/>
      <w:lvlText w:val="%1．"/>
      <w:lvlJc w:val="left"/>
      <w:rPr>
        <w:rFonts w:hint="eastAsia"/>
      </w:rPr>
    </w:lvl>
  </w:abstractNum>
  <w:abstractNum w:abstractNumId="1">
    <w:nsid w:val="44BB95D5"/>
    <w:multiLevelType w:val="singleLevel"/>
    <w:tmpl w:val="44BB95D5"/>
    <w:lvl w:ilvl="0" w:tentative="0">
      <w:start w:val="1"/>
      <w:numFmt w:val="decimal"/>
      <w:suff w:val="space"/>
      <w:lvlText w:val="%1."/>
      <w:lvlJc w:val="left"/>
    </w:lvl>
  </w:abstractNum>
  <w:abstractNum w:abstractNumId="2">
    <w:nsid w:val="54F88A71"/>
    <w:multiLevelType w:val="singleLevel"/>
    <w:tmpl w:val="54F88A71"/>
    <w:lvl w:ilvl="0" w:tentative="0">
      <w:start w:val="1"/>
      <w:numFmt w:val="decimal"/>
      <w:suff w:val="space"/>
      <w:lvlText w:val="%1."/>
      <w:lvlJc w:val="left"/>
    </w:lvl>
  </w:abstractNum>
  <w:abstractNum w:abstractNumId="3">
    <w:nsid w:val="5B7624C0"/>
    <w:multiLevelType w:val="singleLevel"/>
    <w:tmpl w:val="5B7624C0"/>
    <w:lvl w:ilvl="0" w:tentative="0">
      <w:start w:val="1"/>
      <w:numFmt w:val="decimal"/>
      <w:suff w:val="space"/>
      <w:lvlText w:val="%1."/>
      <w:lvlJc w:val="left"/>
    </w:lvl>
  </w:abstractNum>
  <w:abstractNum w:abstractNumId="4">
    <w:nsid w:val="6D3611DE"/>
    <w:multiLevelType w:val="singleLevel"/>
    <w:tmpl w:val="6D3611DE"/>
    <w:lvl w:ilvl="0" w:tentative="0">
      <w:start w:val="1"/>
      <w:numFmt w:val="decimal"/>
      <w:suff w:val="space"/>
      <w:lvlText w:val="%1."/>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281303D7"/>
    <w:rsid w:val="2A886554"/>
    <w:rsid w:val="2E277C09"/>
    <w:rsid w:val="36BB29CB"/>
    <w:rsid w:val="505D4C08"/>
    <w:rsid w:val="5D8A7BAD"/>
    <w:rsid w:val="5E1B16CF"/>
    <w:rsid w:val="5EA67D62"/>
    <w:rsid w:val="5F331A3A"/>
    <w:rsid w:val="60195182"/>
    <w:rsid w:val="67265EE2"/>
    <w:rsid w:val="67952F01"/>
    <w:rsid w:val="6A8B3FD6"/>
    <w:rsid w:val="6D0B1E05"/>
    <w:rsid w:val="6EE204A3"/>
    <w:rsid w:val="70653C52"/>
    <w:rsid w:val="768843A3"/>
    <w:rsid w:val="78013E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2696</Words>
  <Characters>3272</Characters>
  <Lines>0</Lines>
  <Paragraphs>0</Paragraphs>
  <TotalTime>0</TotalTime>
  <ScaleCrop>false</ScaleCrop>
  <LinksUpToDate>false</LinksUpToDate>
  <CharactersWithSpaces>3349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